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F" w:rsidRDefault="003C586F" w:rsidP="003C586F">
      <w:pPr>
        <w:pStyle w:val="NormalWeb"/>
        <w:rPr>
          <w:rFonts w:ascii="Calibri" w:hAnsi="Calibri" w:cs="Calibri"/>
          <w:color w:val="000000"/>
        </w:rPr>
      </w:pPr>
    </w:p>
    <w:p w:rsidR="008B0E28" w:rsidRDefault="003C586F" w:rsidP="008B0E28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teams please note that arrival 30 minutes before the scheduled start time is imperative to provide the match schedule.</w:t>
      </w:r>
      <w:r w:rsidR="008B0E28" w:rsidRPr="008B0E28">
        <w:rPr>
          <w:rFonts w:ascii="Calibri" w:hAnsi="Calibri" w:cs="Calibri"/>
          <w:color w:val="000000"/>
        </w:rPr>
        <w:t xml:space="preserve"> </w:t>
      </w:r>
      <w:r w:rsidR="008B0E28">
        <w:rPr>
          <w:rFonts w:ascii="Calibri" w:hAnsi="Calibri" w:cs="Calibri"/>
          <w:color w:val="000000"/>
        </w:rPr>
        <w:t>Please report to the host club to check the final order of play.</w:t>
      </w:r>
    </w:p>
    <w:p w:rsidR="00183134" w:rsidRDefault="008B0E28"/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C586F" w:rsidTr="003C586F">
        <w:tc>
          <w:tcPr>
            <w:tcW w:w="2405" w:type="dxa"/>
            <w:shd w:val="clear" w:color="auto" w:fill="FBB7EE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FBB7EE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  <w:r w:rsidRPr="0059474F">
              <w:rPr>
                <w:b/>
                <w:sz w:val="28"/>
                <w:szCs w:val="28"/>
              </w:rPr>
              <w:t>UNDER 10 GIRLS</w:t>
            </w:r>
          </w:p>
        </w:tc>
      </w:tr>
      <w:tr w:rsidR="003C586F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  <w:r w:rsidRPr="0059474F">
              <w:rPr>
                <w:b/>
                <w:sz w:val="28"/>
                <w:szCs w:val="28"/>
              </w:rPr>
              <w:t>10.00</w:t>
            </w:r>
            <w:r>
              <w:rPr>
                <w:b/>
                <w:sz w:val="28"/>
                <w:szCs w:val="28"/>
              </w:rPr>
              <w:t xml:space="preserve"> – 11.30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Devonport</w:t>
            </w:r>
          </w:p>
        </w:tc>
      </w:tr>
      <w:tr w:rsidR="003C586F" w:rsidTr="003C586F">
        <w:tc>
          <w:tcPr>
            <w:tcW w:w="2405" w:type="dxa"/>
          </w:tcPr>
          <w:p w:rsidR="003C586F" w:rsidRPr="0059474F" w:rsidRDefault="008B0E28" w:rsidP="003C5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by 9.30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Torbay</w:t>
            </w:r>
          </w:p>
        </w:tc>
      </w:tr>
      <w:tr w:rsidR="003C586F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Teign</w:t>
            </w:r>
          </w:p>
        </w:tc>
      </w:tr>
      <w:tr w:rsidR="003C586F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8B0E28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Plymouth A</w:t>
            </w:r>
          </w:p>
        </w:tc>
      </w:tr>
      <w:tr w:rsidR="008B0E28" w:rsidTr="003C586F">
        <w:tc>
          <w:tcPr>
            <w:tcW w:w="2405" w:type="dxa"/>
          </w:tcPr>
          <w:p w:rsidR="008B0E28" w:rsidRPr="0059474F" w:rsidRDefault="008B0E28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8B0E28" w:rsidRDefault="008B0E28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Plymouth B</w:t>
            </w:r>
          </w:p>
        </w:tc>
      </w:tr>
      <w:tr w:rsidR="003C586F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ECV</w:t>
            </w:r>
            <w:r w:rsidR="008B0E28">
              <w:rPr>
                <w:rFonts w:ascii="Calibri" w:hAnsi="Calibri" w:cs="Calibri"/>
                <w:color w:val="000000"/>
                <w:sz w:val="28"/>
                <w:szCs w:val="28"/>
              </w:rPr>
              <w:t>Hornets</w:t>
            </w:r>
            <w:proofErr w:type="spellEnd"/>
          </w:p>
        </w:tc>
      </w:tr>
      <w:tr w:rsidR="003C586F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East Devon</w:t>
            </w:r>
          </w:p>
        </w:tc>
      </w:tr>
      <w:tr w:rsidR="003C586F" w:rsidRPr="00F07785" w:rsidTr="003C586F">
        <w:trPr>
          <w:trHeight w:val="206"/>
        </w:trPr>
        <w:tc>
          <w:tcPr>
            <w:tcW w:w="2405" w:type="dxa"/>
            <w:shd w:val="clear" w:color="auto" w:fill="FBB7EE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FBB7EE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74F">
              <w:rPr>
                <w:rFonts w:ascii="Calibri" w:eastAsia="Calibri" w:hAnsi="Calibri" w:cs="Times New Roman"/>
                <w:b/>
                <w:sz w:val="28"/>
                <w:szCs w:val="28"/>
              </w:rPr>
              <w:t>UNDER 12 GIRLS</w:t>
            </w:r>
          </w:p>
        </w:tc>
      </w:tr>
      <w:tr w:rsidR="003C586F" w:rsidRPr="00F07785" w:rsidTr="003C586F">
        <w:trPr>
          <w:trHeight w:val="206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74F">
              <w:rPr>
                <w:rFonts w:ascii="Calibri" w:eastAsia="Calibri" w:hAnsi="Calibri" w:cs="Times New Roman"/>
                <w:b/>
                <w:sz w:val="28"/>
                <w:szCs w:val="28"/>
              </w:rPr>
              <w:t>11.30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1.30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Dart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8B0E28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Arrival by 11.00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Ashmoor</w:t>
            </w:r>
            <w:proofErr w:type="spellEnd"/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Torbay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Teign</w:t>
            </w:r>
          </w:p>
        </w:tc>
      </w:tr>
      <w:tr w:rsidR="003C586F" w:rsidRPr="00F07785" w:rsidTr="003C586F">
        <w:trPr>
          <w:trHeight w:val="206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Plymouth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ECV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Sidmouth</w:t>
            </w:r>
            <w:proofErr w:type="spellEnd"/>
            <w:r w:rsidR="008B0E2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&amp; Ottery</w:t>
            </w:r>
          </w:p>
        </w:tc>
      </w:tr>
      <w:tr w:rsidR="003C586F" w:rsidRPr="00F07785" w:rsidTr="003C586F">
        <w:trPr>
          <w:trHeight w:val="206"/>
        </w:trPr>
        <w:tc>
          <w:tcPr>
            <w:tcW w:w="2405" w:type="dxa"/>
            <w:shd w:val="clear" w:color="auto" w:fill="50DBFC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50DBFC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9474F">
              <w:rPr>
                <w:rFonts w:ascii="Calibri" w:eastAsia="Calibri" w:hAnsi="Calibri" w:cs="Times New Roman"/>
                <w:b/>
                <w:sz w:val="28"/>
                <w:szCs w:val="28"/>
              </w:rPr>
              <w:t>UNDER 10 BOYS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1.30 – 3.00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Ashmoor</w:t>
            </w:r>
            <w:proofErr w:type="spellEnd"/>
          </w:p>
        </w:tc>
      </w:tr>
      <w:tr w:rsidR="003C586F" w:rsidRPr="00F07785" w:rsidTr="003C586F">
        <w:trPr>
          <w:trHeight w:val="206"/>
        </w:trPr>
        <w:tc>
          <w:tcPr>
            <w:tcW w:w="2405" w:type="dxa"/>
          </w:tcPr>
          <w:p w:rsidR="003C586F" w:rsidRPr="0059474F" w:rsidRDefault="008B0E28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Arrival by 1pm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Torbay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Teign</w:t>
            </w:r>
          </w:p>
        </w:tc>
      </w:tr>
      <w:tr w:rsidR="003C586F" w:rsidRPr="00F07785" w:rsidTr="003C586F">
        <w:trPr>
          <w:trHeight w:val="218"/>
        </w:trPr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Ivybridge</w:t>
            </w:r>
          </w:p>
        </w:tc>
      </w:tr>
      <w:tr w:rsidR="003C586F" w:rsidRPr="00F07785" w:rsidTr="003C586F">
        <w:trPr>
          <w:trHeight w:val="155"/>
        </w:trPr>
        <w:tc>
          <w:tcPr>
            <w:tcW w:w="2405" w:type="dxa"/>
            <w:shd w:val="clear" w:color="auto" w:fill="FFFFFF" w:themeFill="background1"/>
          </w:tcPr>
          <w:p w:rsidR="003C586F" w:rsidRPr="0059474F" w:rsidRDefault="003C586F" w:rsidP="003C58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FFFFFF" w:themeFill="background1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ECV</w:t>
            </w:r>
            <w:r w:rsidR="008B0E2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Hornets</w:t>
            </w:r>
          </w:p>
        </w:tc>
      </w:tr>
      <w:tr w:rsidR="003C586F" w:rsidTr="003C586F">
        <w:tc>
          <w:tcPr>
            <w:tcW w:w="2405" w:type="dxa"/>
            <w:shd w:val="clear" w:color="auto" w:fill="50DBFC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shd w:val="clear" w:color="auto" w:fill="50DBFC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  <w:r w:rsidRPr="0059474F">
              <w:rPr>
                <w:b/>
                <w:sz w:val="28"/>
                <w:szCs w:val="28"/>
              </w:rPr>
              <w:t>UNDER 12 BOYS</w:t>
            </w:r>
          </w:p>
        </w:tc>
      </w:tr>
      <w:tr w:rsidR="003C586F" w:rsidRPr="000F0421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 – 4.30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Ashmoor</w:t>
            </w:r>
            <w:proofErr w:type="spellEnd"/>
          </w:p>
        </w:tc>
      </w:tr>
      <w:tr w:rsidR="003C586F" w:rsidRPr="000F0421" w:rsidTr="003C586F">
        <w:tc>
          <w:tcPr>
            <w:tcW w:w="2405" w:type="dxa"/>
          </w:tcPr>
          <w:p w:rsidR="003C586F" w:rsidRPr="0059474F" w:rsidRDefault="008B0E28" w:rsidP="003C5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Arrival by 2.30</w:t>
            </w: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Torbay</w:t>
            </w:r>
          </w:p>
        </w:tc>
      </w:tr>
      <w:tr w:rsidR="003C586F" w:rsidRPr="000F0421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Ivybridge</w:t>
            </w:r>
          </w:p>
        </w:tc>
      </w:tr>
      <w:tr w:rsidR="003C586F" w:rsidRPr="000F0421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East Devon</w:t>
            </w:r>
          </w:p>
        </w:tc>
      </w:tr>
      <w:tr w:rsidR="003C586F" w:rsidRPr="000F0421" w:rsidTr="003C586F">
        <w:tc>
          <w:tcPr>
            <w:tcW w:w="2405" w:type="dxa"/>
          </w:tcPr>
          <w:p w:rsidR="003C586F" w:rsidRPr="0059474F" w:rsidRDefault="003C586F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3C586F" w:rsidRPr="003C586F" w:rsidRDefault="003C586F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C586F">
              <w:rPr>
                <w:rFonts w:ascii="Calibri" w:hAnsi="Calibri" w:cs="Calibri"/>
                <w:color w:val="000000"/>
                <w:sz w:val="28"/>
                <w:szCs w:val="28"/>
              </w:rPr>
              <w:t>Sidmouth</w:t>
            </w:r>
            <w:proofErr w:type="spellEnd"/>
            <w:r w:rsidR="008B0E2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&amp; Ottery</w:t>
            </w:r>
          </w:p>
        </w:tc>
      </w:tr>
      <w:tr w:rsidR="008B0E28" w:rsidRPr="000F0421" w:rsidTr="003C586F">
        <w:tc>
          <w:tcPr>
            <w:tcW w:w="2405" w:type="dxa"/>
          </w:tcPr>
          <w:p w:rsidR="008B0E28" w:rsidRPr="0059474F" w:rsidRDefault="008B0E28" w:rsidP="003C58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8B0E28" w:rsidRPr="003C586F" w:rsidRDefault="008B0E28" w:rsidP="003C586F">
            <w:pPr>
              <w:pStyle w:val="NormalWeb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Dart</w:t>
            </w:r>
            <w:bookmarkStart w:id="0" w:name="_GoBack"/>
            <w:bookmarkEnd w:id="0"/>
          </w:p>
        </w:tc>
      </w:tr>
    </w:tbl>
    <w:p w:rsidR="003C586F" w:rsidRDefault="003C586F"/>
    <w:p w:rsidR="003C586F" w:rsidRDefault="003C586F"/>
    <w:sectPr w:rsidR="003C58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B6" w:rsidRDefault="00184DB6" w:rsidP="003C586F">
      <w:pPr>
        <w:spacing w:after="0" w:line="240" w:lineRule="auto"/>
      </w:pPr>
      <w:r>
        <w:separator/>
      </w:r>
    </w:p>
  </w:endnote>
  <w:endnote w:type="continuationSeparator" w:id="0">
    <w:p w:rsidR="00184DB6" w:rsidRDefault="00184DB6" w:rsidP="003C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B6" w:rsidRDefault="00184DB6" w:rsidP="003C586F">
      <w:pPr>
        <w:spacing w:after="0" w:line="240" w:lineRule="auto"/>
      </w:pPr>
      <w:r>
        <w:separator/>
      </w:r>
    </w:p>
  </w:footnote>
  <w:footnote w:type="continuationSeparator" w:id="0">
    <w:p w:rsidR="00184DB6" w:rsidRDefault="00184DB6" w:rsidP="003C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6F" w:rsidRDefault="008B0E28" w:rsidP="003C586F">
    <w:pPr>
      <w:pStyle w:val="Header"/>
      <w:jc w:val="center"/>
      <w:rPr>
        <w:b/>
        <w:sz w:val="32"/>
        <w:szCs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81187C" wp14:editId="34952384">
          <wp:simplePos x="0" y="0"/>
          <wp:positionH relativeFrom="column">
            <wp:posOffset>5438775</wp:posOffset>
          </wp:positionH>
          <wp:positionV relativeFrom="paragraph">
            <wp:posOffset>-211455</wp:posOffset>
          </wp:positionV>
          <wp:extent cx="847725" cy="660400"/>
          <wp:effectExtent l="0" t="0" r="9525" b="6350"/>
          <wp:wrapTight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 Hock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6F" w:rsidRPr="0059474F">
      <w:rPr>
        <w:b/>
        <w:sz w:val="32"/>
        <w:szCs w:val="32"/>
        <w:u w:val="single"/>
      </w:rPr>
      <w:t>U10 &amp; U</w:t>
    </w:r>
    <w:r w:rsidR="003C586F">
      <w:rPr>
        <w:b/>
        <w:sz w:val="32"/>
        <w:szCs w:val="32"/>
        <w:u w:val="single"/>
      </w:rPr>
      <w:t>12 Hockey Festival @</w:t>
    </w:r>
    <w:r w:rsidR="003C586F" w:rsidRPr="0059474F">
      <w:rPr>
        <w:b/>
        <w:sz w:val="32"/>
        <w:szCs w:val="32"/>
        <w:u w:val="single"/>
      </w:rPr>
      <w:t xml:space="preserve"> </w:t>
    </w:r>
    <w:r w:rsidR="003C586F">
      <w:rPr>
        <w:b/>
        <w:sz w:val="32"/>
        <w:szCs w:val="32"/>
        <w:u w:val="single"/>
      </w:rPr>
      <w:t>TORQUAY GIRL GRAMMAR</w:t>
    </w:r>
    <w:r w:rsidR="003C586F" w:rsidRPr="0059474F">
      <w:rPr>
        <w:b/>
        <w:sz w:val="32"/>
        <w:szCs w:val="32"/>
        <w:u w:val="single"/>
      </w:rPr>
      <w:t xml:space="preserve"> </w:t>
    </w:r>
  </w:p>
  <w:p w:rsidR="003C586F" w:rsidRDefault="003C586F" w:rsidP="003C586F">
    <w:pPr>
      <w:pStyle w:val="Header"/>
      <w:jc w:val="center"/>
      <w:rPr>
        <w:b/>
        <w:sz w:val="32"/>
        <w:szCs w:val="32"/>
        <w:u w:val="single"/>
      </w:rPr>
    </w:pPr>
    <w:r w:rsidRPr="0059474F">
      <w:rPr>
        <w:b/>
        <w:sz w:val="32"/>
        <w:szCs w:val="32"/>
        <w:u w:val="single"/>
      </w:rPr>
      <w:t>26</w:t>
    </w:r>
    <w:r w:rsidRPr="0059474F">
      <w:rPr>
        <w:b/>
        <w:sz w:val="32"/>
        <w:szCs w:val="32"/>
        <w:u w:val="single"/>
        <w:vertAlign w:val="superscript"/>
      </w:rPr>
      <w:t>th</w:t>
    </w:r>
    <w:r w:rsidRPr="0059474F">
      <w:rPr>
        <w:b/>
        <w:sz w:val="32"/>
        <w:szCs w:val="32"/>
        <w:u w:val="single"/>
      </w:rPr>
      <w:t xml:space="preserve"> February 2017</w:t>
    </w:r>
    <w:r>
      <w:rPr>
        <w:b/>
        <w:sz w:val="32"/>
        <w:szCs w:val="32"/>
        <w:u w:val="single"/>
      </w:rPr>
      <w:t xml:space="preserve"> </w:t>
    </w:r>
  </w:p>
  <w:p w:rsidR="003C586F" w:rsidRPr="0059474F" w:rsidRDefault="003C586F" w:rsidP="003C586F">
    <w:pPr>
      <w:pStyle w:val="Header"/>
      <w:jc w:val="center"/>
      <w:rPr>
        <w:b/>
        <w:sz w:val="32"/>
        <w:szCs w:val="32"/>
        <w:u w:val="single"/>
      </w:rPr>
    </w:pPr>
    <w:r w:rsidRPr="0059474F">
      <w:rPr>
        <w:b/>
        <w:sz w:val="32"/>
        <w:szCs w:val="32"/>
        <w:u w:val="single"/>
      </w:rPr>
      <w:t xml:space="preserve">10am – </w:t>
    </w:r>
    <w:r>
      <w:rPr>
        <w:b/>
        <w:sz w:val="32"/>
        <w:szCs w:val="32"/>
        <w:u w:val="single"/>
      </w:rPr>
      <w:t>4.30</w:t>
    </w:r>
    <w:r w:rsidRPr="0059474F">
      <w:rPr>
        <w:b/>
        <w:sz w:val="32"/>
        <w:szCs w:val="32"/>
        <w:u w:val="single"/>
      </w:rPr>
      <w:t xml:space="preserve"> pm</w:t>
    </w:r>
  </w:p>
  <w:p w:rsidR="003C586F" w:rsidRDefault="003C5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F"/>
    <w:rsid w:val="00184DB6"/>
    <w:rsid w:val="003C586F"/>
    <w:rsid w:val="004E2033"/>
    <w:rsid w:val="008B0E28"/>
    <w:rsid w:val="009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6F"/>
  </w:style>
  <w:style w:type="paragraph" w:styleId="Footer">
    <w:name w:val="footer"/>
    <w:basedOn w:val="Normal"/>
    <w:link w:val="FooterChar"/>
    <w:uiPriority w:val="99"/>
    <w:unhideWhenUsed/>
    <w:rsid w:val="003C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6F"/>
  </w:style>
  <w:style w:type="paragraph" w:styleId="NormalWeb">
    <w:name w:val="Normal (Web)"/>
    <w:basedOn w:val="Normal"/>
    <w:uiPriority w:val="99"/>
    <w:unhideWhenUsed/>
    <w:rsid w:val="003C58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6F"/>
  </w:style>
  <w:style w:type="paragraph" w:styleId="Footer">
    <w:name w:val="footer"/>
    <w:basedOn w:val="Normal"/>
    <w:link w:val="FooterChar"/>
    <w:uiPriority w:val="99"/>
    <w:unhideWhenUsed/>
    <w:rsid w:val="003C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6F"/>
  </w:style>
  <w:style w:type="paragraph" w:styleId="NormalWeb">
    <w:name w:val="Normal (Web)"/>
    <w:basedOn w:val="Normal"/>
    <w:uiPriority w:val="99"/>
    <w:unhideWhenUsed/>
    <w:rsid w:val="003C58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Betty, Michelle</dc:creator>
  <cp:lastModifiedBy>Windows User</cp:lastModifiedBy>
  <cp:revision>2</cp:revision>
  <dcterms:created xsi:type="dcterms:W3CDTF">2017-02-08T13:51:00Z</dcterms:created>
  <dcterms:modified xsi:type="dcterms:W3CDTF">2017-02-08T13:51:00Z</dcterms:modified>
</cp:coreProperties>
</file>