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5083" w14:textId="77777777" w:rsidR="004111AF" w:rsidRPr="00631B3D" w:rsidRDefault="00F6667B" w:rsidP="00672DCC">
      <w:pPr>
        <w:spacing w:after="0" w:line="240" w:lineRule="auto"/>
        <w:jc w:val="both"/>
        <w:rPr>
          <w:rFonts w:ascii="Arial" w:hAnsi="Arial"/>
        </w:rPr>
      </w:pPr>
      <w:r>
        <w:rPr>
          <w:noProof/>
          <w:lang w:val="en-US" w:eastAsia="en-US"/>
        </w:rPr>
        <mc:AlternateContent>
          <mc:Choice Requires="wps">
            <w:drawing>
              <wp:anchor distT="0" distB="0" distL="114300" distR="114300" simplePos="0" relativeHeight="251657728" behindDoc="1" locked="0" layoutInCell="1" allowOverlap="1" wp14:anchorId="62B344F5" wp14:editId="12694D2A">
                <wp:simplePos x="0" y="0"/>
                <wp:positionH relativeFrom="column">
                  <wp:posOffset>7620</wp:posOffset>
                </wp:positionH>
                <wp:positionV relativeFrom="paragraph">
                  <wp:posOffset>143510</wp:posOffset>
                </wp:positionV>
                <wp:extent cx="5825490" cy="342900"/>
                <wp:effectExtent l="0" t="3810" r="8890" b="889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342900"/>
                        </a:xfrm>
                        <a:prstGeom prst="rect">
                          <a:avLst/>
                        </a:prstGeom>
                        <a:solidFill>
                          <a:srgbClr val="548DD4"/>
                        </a:solidFill>
                        <a:ln w="9525">
                          <a:solidFill>
                            <a:srgbClr val="000000"/>
                          </a:solidFill>
                          <a:miter lim="800000"/>
                          <a:headEnd/>
                          <a:tailEnd/>
                        </a:ln>
                      </wps:spPr>
                      <wps:txbx>
                        <w:txbxContent>
                          <w:p w14:paraId="496D0D7F" w14:textId="77777777" w:rsidR="004111AF" w:rsidRPr="00692936" w:rsidRDefault="004111AF" w:rsidP="00672DCC">
                            <w:pPr>
                              <w:rPr>
                                <w:b/>
                                <w:sz w:val="32"/>
                              </w:rPr>
                            </w:pPr>
                            <w:r>
                              <w:rPr>
                                <w:b/>
                                <w:sz w:val="32"/>
                              </w:rPr>
                              <w:t>DISCIPLINARY CODE</w:t>
                            </w:r>
                            <w:r>
                              <w:rPr>
                                <w:b/>
                                <w:sz w:val="32"/>
                              </w:rPr>
                              <w:tab/>
                            </w:r>
                            <w:r>
                              <w:rPr>
                                <w:b/>
                                <w:sz w:val="32"/>
                              </w:rPr>
                              <w:tab/>
                            </w:r>
                            <w:r>
                              <w:rPr>
                                <w:b/>
                                <w:sz w:val="32"/>
                              </w:rPr>
                              <w:tab/>
                            </w:r>
                            <w:r>
                              <w:rPr>
                                <w:b/>
                                <w:sz w:val="32"/>
                              </w:rPr>
                              <w:tab/>
                            </w:r>
                            <w:r>
                              <w:rPr>
                                <w:b/>
                                <w:sz w:val="32"/>
                              </w:rPr>
                              <w:tab/>
                            </w:r>
                            <w:r>
                              <w:rPr>
                                <w:b/>
                                <w:sz w:val="32"/>
                              </w:rPr>
                              <w:tab/>
                            </w:r>
                            <w:r>
                              <w:rPr>
                                <w:b/>
                                <w:sz w:val="32"/>
                              </w:rPr>
                              <w:tab/>
                              <w:t xml:space="preserve">   </w:t>
                            </w:r>
                            <w:r>
                              <w:rPr>
                                <w:b/>
                                <w:sz w:val="32"/>
                              </w:rPr>
                              <w:tab/>
                              <w:t xml:space="preserve">   V3.0</w:t>
                            </w:r>
                          </w:p>
                          <w:p w14:paraId="77AB92BB" w14:textId="77777777" w:rsidR="004111AF" w:rsidRDefault="004111AF" w:rsidP="00672D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11.3pt;width:458.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" fillcolor="#548dd4">
                <v:textbox>
                  <w:txbxContent>
                    <w:p w:rsidR="004111AF" w:rsidRPr="00692936" w:rsidRDefault="004111AF" w:rsidP="00672DCC">
                      <w:pPr>
                        <w:rPr>
                          <w:b/>
                          <w:sz w:val="32"/>
                        </w:rPr>
                      </w:pPr>
                      <w:r>
                        <w:rPr>
                          <w:b/>
                          <w:sz w:val="32"/>
                        </w:rPr>
                        <w:t>DISCIPLINARY CODE</w:t>
                      </w:r>
                      <w:r>
                        <w:rPr>
                          <w:b/>
                          <w:sz w:val="32"/>
                        </w:rPr>
                        <w:tab/>
                      </w:r>
                      <w:r>
                        <w:rPr>
                          <w:b/>
                          <w:sz w:val="32"/>
                        </w:rPr>
                        <w:tab/>
                      </w:r>
                      <w:r>
                        <w:rPr>
                          <w:b/>
                          <w:sz w:val="32"/>
                        </w:rPr>
                        <w:tab/>
                      </w:r>
                      <w:r>
                        <w:rPr>
                          <w:b/>
                          <w:sz w:val="32"/>
                        </w:rPr>
                        <w:tab/>
                      </w:r>
                      <w:r>
                        <w:rPr>
                          <w:b/>
                          <w:sz w:val="32"/>
                        </w:rPr>
                        <w:tab/>
                      </w:r>
                      <w:r>
                        <w:rPr>
                          <w:b/>
                          <w:sz w:val="32"/>
                        </w:rPr>
                        <w:tab/>
                      </w:r>
                      <w:r>
                        <w:rPr>
                          <w:b/>
                          <w:sz w:val="32"/>
                        </w:rPr>
                        <w:tab/>
                        <w:t xml:space="preserve">   </w:t>
                      </w:r>
                      <w:r>
                        <w:rPr>
                          <w:b/>
                          <w:sz w:val="32"/>
                        </w:rPr>
                        <w:tab/>
                        <w:t xml:space="preserve">   V3.0</w:t>
                      </w:r>
                    </w:p>
                    <w:p w:rsidR="004111AF" w:rsidRDefault="004111AF" w:rsidP="00672DCC">
                      <w:pPr>
                        <w:jc w:val="center"/>
                      </w:pPr>
                    </w:p>
                  </w:txbxContent>
                </v:textbox>
              </v:rect>
            </w:pict>
          </mc:Fallback>
        </mc:AlternateContent>
      </w:r>
    </w:p>
    <w:p w14:paraId="07438810" w14:textId="77777777" w:rsidR="004111AF" w:rsidRPr="00631B3D" w:rsidRDefault="004111AF" w:rsidP="00672DCC">
      <w:pPr>
        <w:spacing w:after="0" w:line="240" w:lineRule="auto"/>
        <w:jc w:val="both"/>
        <w:rPr>
          <w:rFonts w:ascii="Arial" w:hAnsi="Arial"/>
        </w:rPr>
      </w:pPr>
    </w:p>
    <w:p w14:paraId="44C77274" w14:textId="77777777" w:rsidR="004111AF" w:rsidRPr="00631B3D" w:rsidRDefault="004111AF" w:rsidP="00672DCC">
      <w:pPr>
        <w:spacing w:after="0" w:line="240" w:lineRule="auto"/>
        <w:jc w:val="both"/>
        <w:rPr>
          <w:rFonts w:ascii="Arial" w:hAnsi="Arial"/>
        </w:rPr>
      </w:pPr>
    </w:p>
    <w:p w14:paraId="327E9F2A" w14:textId="77777777" w:rsidR="004111AF" w:rsidRPr="00631B3D" w:rsidRDefault="004111AF" w:rsidP="00672DCC">
      <w:pPr>
        <w:spacing w:after="0" w:line="240" w:lineRule="auto"/>
        <w:jc w:val="both"/>
        <w:rPr>
          <w:rFonts w:ascii="Arial" w:hAnsi="Arial"/>
        </w:rPr>
      </w:pPr>
    </w:p>
    <w:p w14:paraId="3EACCBA0" w14:textId="77777777" w:rsidR="004111AF" w:rsidRPr="00631B3D" w:rsidRDefault="004111AF" w:rsidP="0077791E">
      <w:pPr>
        <w:spacing w:after="0" w:line="240" w:lineRule="auto"/>
        <w:jc w:val="both"/>
        <w:rPr>
          <w:rFonts w:ascii="Arial" w:hAnsi="Arial"/>
        </w:rPr>
      </w:pPr>
      <w:r w:rsidRPr="00631B3D">
        <w:rPr>
          <w:rFonts w:ascii="Arial" w:hAnsi="Arial"/>
        </w:rPr>
        <w:t>1.</w:t>
      </w:r>
      <w:r w:rsidRPr="00631B3D">
        <w:rPr>
          <w:rFonts w:ascii="Arial" w:hAnsi="Arial"/>
          <w:b/>
        </w:rPr>
        <w:tab/>
        <w:t>Overview</w:t>
      </w:r>
      <w:r w:rsidRPr="00631B3D">
        <w:rPr>
          <w:rFonts w:ascii="Arial" w:hAnsi="Arial"/>
        </w:rPr>
        <w:t xml:space="preserve">.  </w:t>
      </w:r>
      <w:r w:rsidRPr="00631B3D">
        <w:rPr>
          <w:rFonts w:ascii="Arial" w:hAnsi="Arial" w:cs="Arial"/>
        </w:rPr>
        <w:t xml:space="preserve">TBBHC </w:t>
      </w:r>
      <w:r w:rsidRPr="00631B3D">
        <w:rPr>
          <w:rFonts w:ascii="Arial" w:hAnsi="Arial" w:cs="Arial"/>
          <w:color w:val="2D2D2D"/>
          <w:lang w:val="en-US"/>
        </w:rPr>
        <w:t>takes discipline and conduct very seriously.  The Club’s aim is to play hard but fair hockey with a strong mental focus and self control.  There is no room for ill-disciplined or bad behaviour as this detracts from the spirit of the game and undermines performance and reputation.</w:t>
      </w:r>
      <w:r w:rsidRPr="00631B3D">
        <w:rPr>
          <w:rFonts w:ascii="Arial" w:hAnsi="Arial" w:cs="Arial"/>
        </w:rPr>
        <w:t xml:space="preserve">  Accordingly, </w:t>
      </w:r>
      <w:r w:rsidRPr="00631B3D">
        <w:rPr>
          <w:rFonts w:ascii="Arial" w:hAnsi="Arial"/>
        </w:rPr>
        <w:t>TBBHC fully subscribes to the England Hockey Code of Ethics and Behaviour, Safeguarding Young People Policy and the West Leagues’ Player Behaviour Policy.</w:t>
      </w:r>
    </w:p>
    <w:p w14:paraId="060C89E7" w14:textId="77777777" w:rsidR="004111AF" w:rsidRPr="00631B3D" w:rsidRDefault="004111AF" w:rsidP="0077791E">
      <w:pPr>
        <w:spacing w:after="0" w:line="240" w:lineRule="auto"/>
        <w:jc w:val="both"/>
        <w:rPr>
          <w:rFonts w:ascii="Arial" w:hAnsi="Arial"/>
        </w:rPr>
      </w:pPr>
      <w:r w:rsidRPr="00631B3D">
        <w:rPr>
          <w:rFonts w:ascii="Arial" w:hAnsi="Arial"/>
        </w:rPr>
        <w:tab/>
      </w:r>
    </w:p>
    <w:p w14:paraId="2A130F0D" w14:textId="77777777" w:rsidR="004111AF" w:rsidRPr="00631B3D" w:rsidRDefault="004111AF" w:rsidP="00672DCC">
      <w:pPr>
        <w:spacing w:after="0" w:line="240" w:lineRule="auto"/>
        <w:jc w:val="both"/>
        <w:rPr>
          <w:rFonts w:ascii="Arial" w:hAnsi="Arial"/>
        </w:rPr>
      </w:pPr>
      <w:r w:rsidRPr="00631B3D">
        <w:rPr>
          <w:rFonts w:ascii="Arial" w:hAnsi="Arial"/>
        </w:rPr>
        <w:t>2.</w:t>
      </w:r>
      <w:r w:rsidRPr="00631B3D">
        <w:rPr>
          <w:rFonts w:ascii="Arial" w:hAnsi="Arial"/>
        </w:rPr>
        <w:tab/>
      </w:r>
      <w:r w:rsidRPr="00631B3D">
        <w:rPr>
          <w:rFonts w:ascii="Arial" w:hAnsi="Arial"/>
          <w:b/>
        </w:rPr>
        <w:t>Responsibilities</w:t>
      </w:r>
      <w:r w:rsidRPr="00631B3D">
        <w:rPr>
          <w:rFonts w:ascii="Arial" w:hAnsi="Arial"/>
        </w:rPr>
        <w:t>.  Conduct on the field of play is fundamentally the responsibility of the individual player and the Team Captain and the Club looks to its players and Captains to act accordingly.  The match umpires will apply the laws of the game, applying the rules in respect to cards and other sanctions.  The Club will abide by the application of these rules by the match officials and England Hockey.  Additionally, the Club may elect to apply additional sanctions as decided by its Disciplinary Committee.</w:t>
      </w:r>
    </w:p>
    <w:p w14:paraId="38353F0A" w14:textId="77777777" w:rsidR="004111AF" w:rsidRPr="00631B3D" w:rsidRDefault="004111AF" w:rsidP="00672DCC">
      <w:pPr>
        <w:spacing w:after="0" w:line="240" w:lineRule="auto"/>
        <w:jc w:val="both"/>
        <w:rPr>
          <w:rFonts w:ascii="Arial" w:hAnsi="Arial"/>
        </w:rPr>
      </w:pPr>
    </w:p>
    <w:p w14:paraId="6DC029E3" w14:textId="77777777" w:rsidR="004111AF" w:rsidRPr="00631B3D" w:rsidRDefault="004111AF" w:rsidP="00672DCC">
      <w:pPr>
        <w:spacing w:after="0" w:line="240" w:lineRule="auto"/>
        <w:jc w:val="both"/>
        <w:rPr>
          <w:rFonts w:ascii="Arial" w:hAnsi="Arial"/>
        </w:rPr>
      </w:pPr>
      <w:r w:rsidRPr="00631B3D">
        <w:rPr>
          <w:rFonts w:ascii="Arial" w:hAnsi="Arial"/>
        </w:rPr>
        <w:t>3.</w:t>
      </w:r>
      <w:r w:rsidRPr="00631B3D">
        <w:rPr>
          <w:rFonts w:ascii="Arial" w:hAnsi="Arial"/>
        </w:rPr>
        <w:tab/>
        <w:t xml:space="preserve">The Club shall appoint a Club Disciplinary Officer (CDO) iaw England Hockey Code of Ethics and Behaviour who shall usually be the Director of Hockey.  The CDO will be the principal intermediary on major disciplinary matters, as well as advising players on their responsibilities and rights and the details of the regulations.     </w:t>
      </w:r>
    </w:p>
    <w:p w14:paraId="0013DFB5" w14:textId="77777777" w:rsidR="004111AF" w:rsidRPr="00631B3D" w:rsidRDefault="004111AF" w:rsidP="00672DCC">
      <w:pPr>
        <w:spacing w:after="0" w:line="240" w:lineRule="auto"/>
        <w:jc w:val="both"/>
        <w:rPr>
          <w:rFonts w:ascii="Arial" w:hAnsi="Arial"/>
        </w:rPr>
      </w:pPr>
    </w:p>
    <w:p w14:paraId="1579C825" w14:textId="77777777" w:rsidR="004111AF" w:rsidRPr="00631B3D" w:rsidRDefault="004111AF" w:rsidP="00672DCC">
      <w:pPr>
        <w:spacing w:after="0" w:line="240" w:lineRule="auto"/>
        <w:jc w:val="both"/>
        <w:rPr>
          <w:rFonts w:ascii="Arial" w:hAnsi="Arial"/>
        </w:rPr>
      </w:pPr>
      <w:r w:rsidRPr="00631B3D">
        <w:rPr>
          <w:rFonts w:ascii="Arial" w:hAnsi="Arial"/>
        </w:rPr>
        <w:t>4.</w:t>
      </w:r>
      <w:r w:rsidRPr="00631B3D">
        <w:rPr>
          <w:rFonts w:ascii="Arial" w:hAnsi="Arial"/>
        </w:rPr>
        <w:tab/>
      </w:r>
      <w:r w:rsidRPr="00631B3D">
        <w:rPr>
          <w:rFonts w:ascii="Arial" w:hAnsi="Arial"/>
          <w:b/>
        </w:rPr>
        <w:t xml:space="preserve">TBBHC Disciplinary Committee.  </w:t>
      </w:r>
      <w:r w:rsidRPr="00631B3D">
        <w:rPr>
          <w:rFonts w:ascii="Arial" w:hAnsi="Arial"/>
        </w:rPr>
        <w:t xml:space="preserve">The Disciplinary Committee receives its authority directly from the Executive Committee.  It is chaired by the CDO (or in his absence a member of the Executive Committee appointed by the Chairman) and shall consist of the appropriate Men’s/Ladies Club Captain and at least one Team Captain from across the Club.  In the case of any dispute involving a Junior Player (under 18 years of age), the Welfare Officer will also sit on the Disciplinary Committee.  </w:t>
      </w:r>
    </w:p>
    <w:p w14:paraId="7BFFFF6B" w14:textId="77777777" w:rsidR="004111AF" w:rsidRPr="00631B3D" w:rsidRDefault="004111AF" w:rsidP="00672DCC">
      <w:pPr>
        <w:spacing w:after="0" w:line="240" w:lineRule="auto"/>
        <w:jc w:val="both"/>
        <w:rPr>
          <w:rFonts w:ascii="Arial" w:hAnsi="Arial"/>
        </w:rPr>
      </w:pPr>
    </w:p>
    <w:p w14:paraId="26F69A69" w14:textId="77777777" w:rsidR="004111AF" w:rsidRPr="00631B3D" w:rsidRDefault="004111AF" w:rsidP="00672DCC">
      <w:pPr>
        <w:spacing w:after="0" w:line="240" w:lineRule="auto"/>
        <w:jc w:val="both"/>
        <w:rPr>
          <w:rFonts w:ascii="Arial" w:hAnsi="Arial"/>
        </w:rPr>
      </w:pPr>
      <w:r w:rsidRPr="00631B3D">
        <w:rPr>
          <w:rFonts w:ascii="Arial" w:hAnsi="Arial"/>
        </w:rPr>
        <w:t>5.</w:t>
      </w:r>
      <w:r w:rsidRPr="00631B3D">
        <w:rPr>
          <w:rFonts w:ascii="Arial" w:hAnsi="Arial"/>
        </w:rPr>
        <w:tab/>
      </w:r>
      <w:r w:rsidRPr="00631B3D">
        <w:rPr>
          <w:rFonts w:ascii="Arial" w:hAnsi="Arial"/>
          <w:b/>
        </w:rPr>
        <w:t>England Hockey Sanctions</w:t>
      </w:r>
      <w:r w:rsidRPr="00631B3D">
        <w:rPr>
          <w:rFonts w:ascii="Arial" w:hAnsi="Arial"/>
        </w:rPr>
        <w:t xml:space="preserve">.  The Club will take the following considerations when cards are awarded as follows.  </w:t>
      </w:r>
    </w:p>
    <w:p w14:paraId="5D8E7D31" w14:textId="77777777" w:rsidR="004111AF" w:rsidRPr="00631B3D" w:rsidRDefault="004111AF" w:rsidP="00672DCC">
      <w:pPr>
        <w:spacing w:after="0" w:line="240" w:lineRule="auto"/>
        <w:jc w:val="both"/>
        <w:rPr>
          <w:rFonts w:ascii="Arial" w:hAnsi="Arial"/>
        </w:rPr>
      </w:pPr>
    </w:p>
    <w:p w14:paraId="3E65B2D8" w14:textId="77777777" w:rsidR="004111AF" w:rsidRPr="00631B3D" w:rsidRDefault="004111AF" w:rsidP="005B5FCE">
      <w:pPr>
        <w:pStyle w:val="ListParagraph"/>
        <w:numPr>
          <w:ilvl w:val="0"/>
          <w:numId w:val="11"/>
        </w:numPr>
        <w:spacing w:after="0" w:line="240" w:lineRule="auto"/>
        <w:jc w:val="both"/>
        <w:rPr>
          <w:rFonts w:ascii="Arial" w:hAnsi="Arial"/>
        </w:rPr>
      </w:pPr>
      <w:r w:rsidRPr="00631B3D">
        <w:rPr>
          <w:rFonts w:ascii="Arial" w:hAnsi="Arial"/>
          <w:b/>
        </w:rPr>
        <w:t>Green card</w:t>
      </w:r>
      <w:r w:rsidRPr="00631B3D">
        <w:rPr>
          <w:rFonts w:ascii="Arial" w:hAnsi="Arial"/>
        </w:rPr>
        <w:t>.  A one-off green card is common in hockey but if a player</w:t>
      </w:r>
    </w:p>
    <w:p w14:paraId="5E8ACD7A" w14:textId="77777777" w:rsidR="004111AF" w:rsidRPr="00631B3D" w:rsidRDefault="004111AF" w:rsidP="005B5FCE">
      <w:pPr>
        <w:spacing w:after="0" w:line="240" w:lineRule="auto"/>
        <w:ind w:left="720"/>
        <w:jc w:val="both"/>
        <w:rPr>
          <w:rFonts w:ascii="Arial" w:hAnsi="Arial"/>
        </w:rPr>
      </w:pPr>
      <w:r w:rsidRPr="00631B3D">
        <w:rPr>
          <w:rFonts w:ascii="Arial" w:hAnsi="Arial"/>
        </w:rPr>
        <w:t>is regularly receiving a caution then the Team Captain should speak to the player concerned.  Green cards are not required to be recorded on the Club website, however it should be noted that from the 2015/16 season onwards a green card will result in a 2 minute suspension so this policy may be reviewed.</w:t>
      </w:r>
    </w:p>
    <w:p w14:paraId="0DF9A654" w14:textId="77777777" w:rsidR="004111AF" w:rsidRPr="00631B3D" w:rsidRDefault="004111AF" w:rsidP="00672DCC">
      <w:pPr>
        <w:spacing w:after="0" w:line="240" w:lineRule="auto"/>
        <w:jc w:val="both"/>
        <w:rPr>
          <w:rFonts w:ascii="Arial" w:hAnsi="Arial"/>
        </w:rPr>
      </w:pPr>
    </w:p>
    <w:p w14:paraId="3D6E924C" w14:textId="30D74437" w:rsidR="004111AF" w:rsidRPr="00631B3D" w:rsidRDefault="004111AF" w:rsidP="00717F77">
      <w:pPr>
        <w:spacing w:after="0" w:line="240" w:lineRule="auto"/>
        <w:ind w:left="720"/>
        <w:jc w:val="both"/>
        <w:rPr>
          <w:rFonts w:ascii="Arial" w:hAnsi="Arial"/>
        </w:rPr>
      </w:pPr>
      <w:r w:rsidRPr="00631B3D">
        <w:rPr>
          <w:rFonts w:ascii="Arial" w:hAnsi="Arial"/>
        </w:rPr>
        <w:t>b.</w:t>
      </w:r>
      <w:r w:rsidRPr="00631B3D">
        <w:rPr>
          <w:rFonts w:ascii="Arial" w:hAnsi="Arial"/>
        </w:rPr>
        <w:tab/>
      </w:r>
      <w:r w:rsidRPr="00631B3D">
        <w:rPr>
          <w:rFonts w:ascii="Arial" w:hAnsi="Arial"/>
          <w:b/>
        </w:rPr>
        <w:t>Yellow card</w:t>
      </w:r>
      <w:r w:rsidRPr="00631B3D">
        <w:rPr>
          <w:rFonts w:ascii="Arial" w:hAnsi="Arial"/>
        </w:rPr>
        <w:t>.  All yellow cards are required to be recorded by the Team Captain on the TBBHC website as part of the Match Report.  If a player receives 3 yellow cards in a season, this will be referred to the Disciplinary Commit</w:t>
      </w:r>
      <w:r w:rsidR="00CA6EF7">
        <w:rPr>
          <w:rFonts w:ascii="Arial" w:hAnsi="Arial"/>
        </w:rPr>
        <w:t>tee by the relevant Team Captain which will consider the circumstances; this will result in the application of one of the sanctions listed at para 7 depending on th</w:t>
      </w:r>
      <w:r w:rsidR="00EE0C95">
        <w:rPr>
          <w:rFonts w:ascii="Arial" w:hAnsi="Arial"/>
        </w:rPr>
        <w:t xml:space="preserve">e circumstances (a particularly strong </w:t>
      </w:r>
      <w:r w:rsidR="00CA6EF7">
        <w:rPr>
          <w:rFonts w:ascii="Arial" w:hAnsi="Arial"/>
        </w:rPr>
        <w:t>line will be ta</w:t>
      </w:r>
      <w:r w:rsidR="00EE0C95">
        <w:rPr>
          <w:rFonts w:ascii="Arial" w:hAnsi="Arial"/>
        </w:rPr>
        <w:t xml:space="preserve">ken against any player </w:t>
      </w:r>
      <w:r w:rsidR="006868A2">
        <w:rPr>
          <w:rFonts w:ascii="Arial" w:hAnsi="Arial"/>
        </w:rPr>
        <w:t xml:space="preserve">repeatedly </w:t>
      </w:r>
      <w:bookmarkStart w:id="0" w:name="_GoBack"/>
      <w:bookmarkEnd w:id="0"/>
      <w:r w:rsidR="00EE0C95">
        <w:rPr>
          <w:rFonts w:ascii="Arial" w:hAnsi="Arial"/>
        </w:rPr>
        <w:t>carded for verbal abuse)</w:t>
      </w:r>
      <w:r w:rsidR="00CA6EF7">
        <w:rPr>
          <w:rFonts w:ascii="Arial" w:hAnsi="Arial"/>
        </w:rPr>
        <w:t xml:space="preserve">.  </w:t>
      </w:r>
      <w:r w:rsidRPr="00631B3D">
        <w:rPr>
          <w:rFonts w:ascii="Arial" w:hAnsi="Arial"/>
        </w:rPr>
        <w:t>If the player wishes to de</w:t>
      </w:r>
      <w:r w:rsidR="00EE0C95">
        <w:rPr>
          <w:rFonts w:ascii="Arial" w:hAnsi="Arial"/>
        </w:rPr>
        <w:t>fend themself</w:t>
      </w:r>
      <w:r w:rsidR="00CA6EF7">
        <w:rPr>
          <w:rFonts w:ascii="Arial" w:hAnsi="Arial"/>
        </w:rPr>
        <w:t>, they may do so</w:t>
      </w:r>
      <w:r w:rsidRPr="00631B3D">
        <w:rPr>
          <w:rFonts w:ascii="Arial" w:hAnsi="Arial"/>
        </w:rPr>
        <w:t>.  For players in the EHL, England Hockey will automaticall</w:t>
      </w:r>
      <w:r w:rsidR="00EE0C95">
        <w:rPr>
          <w:rFonts w:ascii="Arial" w:hAnsi="Arial"/>
        </w:rPr>
        <w:t xml:space="preserve">y apply a 1 </w:t>
      </w:r>
      <w:r w:rsidRPr="00631B3D">
        <w:rPr>
          <w:rFonts w:ascii="Arial" w:hAnsi="Arial"/>
        </w:rPr>
        <w:t xml:space="preserve">match suspension if a player receives 3 yellow cards in a season.     </w:t>
      </w:r>
    </w:p>
    <w:p w14:paraId="55EF46C6" w14:textId="77777777" w:rsidR="004111AF" w:rsidRPr="00631B3D" w:rsidRDefault="004111AF" w:rsidP="00B20079">
      <w:pPr>
        <w:spacing w:after="0" w:line="240" w:lineRule="auto"/>
        <w:jc w:val="both"/>
        <w:rPr>
          <w:rFonts w:ascii="Arial" w:hAnsi="Arial"/>
        </w:rPr>
      </w:pPr>
    </w:p>
    <w:p w14:paraId="577AF99D" w14:textId="77777777" w:rsidR="004111AF" w:rsidRPr="00631B3D" w:rsidRDefault="004111AF" w:rsidP="00B20079">
      <w:pPr>
        <w:pStyle w:val="ListParagraph"/>
        <w:spacing w:after="0" w:line="240" w:lineRule="auto"/>
        <w:jc w:val="both"/>
        <w:rPr>
          <w:rFonts w:ascii="Arial" w:hAnsi="Arial"/>
        </w:rPr>
      </w:pPr>
      <w:r w:rsidRPr="00631B3D">
        <w:rPr>
          <w:rFonts w:ascii="Arial" w:hAnsi="Arial"/>
        </w:rPr>
        <w:t>c.</w:t>
      </w:r>
      <w:r w:rsidRPr="00631B3D">
        <w:rPr>
          <w:rFonts w:ascii="Arial" w:hAnsi="Arial"/>
        </w:rPr>
        <w:tab/>
      </w:r>
      <w:r w:rsidRPr="00631B3D">
        <w:rPr>
          <w:rFonts w:ascii="Arial" w:hAnsi="Arial"/>
          <w:b/>
        </w:rPr>
        <w:t xml:space="preserve">Red card.  </w:t>
      </w:r>
      <w:r w:rsidRPr="00631B3D">
        <w:rPr>
          <w:rFonts w:ascii="Arial" w:hAnsi="Arial"/>
        </w:rPr>
        <w:t xml:space="preserve">A player who receives a red card will have the minimum punishment laid down by England Hockey.  A Club Disciplinary Meeting will be called and the player will have the right to represent himself/herself.  If it is considered </w:t>
      </w:r>
      <w:r w:rsidRPr="00631B3D">
        <w:rPr>
          <w:rFonts w:ascii="Arial" w:hAnsi="Arial"/>
        </w:rPr>
        <w:lastRenderedPageBreak/>
        <w:t xml:space="preserve">appropriate, the Disciplinary Committee may take further action.   All red cards are to be recorded on the website. </w:t>
      </w:r>
    </w:p>
    <w:p w14:paraId="23C6D427" w14:textId="77777777" w:rsidR="004111AF" w:rsidRPr="00631B3D" w:rsidRDefault="004111AF" w:rsidP="008664A4">
      <w:pPr>
        <w:spacing w:after="0" w:line="240" w:lineRule="auto"/>
        <w:jc w:val="both"/>
        <w:rPr>
          <w:rFonts w:ascii="Arial" w:hAnsi="Arial"/>
        </w:rPr>
      </w:pPr>
    </w:p>
    <w:p w14:paraId="1DC5A706" w14:textId="77777777" w:rsidR="004111AF" w:rsidRPr="00631B3D" w:rsidRDefault="004111AF" w:rsidP="00E9136E">
      <w:pPr>
        <w:spacing w:after="0" w:line="240" w:lineRule="auto"/>
        <w:ind w:left="720"/>
        <w:jc w:val="both"/>
        <w:rPr>
          <w:rFonts w:ascii="Arial" w:hAnsi="Arial"/>
        </w:rPr>
      </w:pPr>
      <w:r w:rsidRPr="00631B3D">
        <w:rPr>
          <w:rFonts w:ascii="Arial" w:hAnsi="Arial"/>
        </w:rPr>
        <w:t>d.</w:t>
      </w:r>
      <w:r w:rsidRPr="00631B3D">
        <w:rPr>
          <w:rFonts w:ascii="Arial" w:hAnsi="Arial"/>
        </w:rPr>
        <w:tab/>
      </w:r>
      <w:r w:rsidRPr="00631B3D">
        <w:rPr>
          <w:rFonts w:ascii="Arial" w:hAnsi="Arial"/>
          <w:b/>
        </w:rPr>
        <w:t>Matchday Misconduct Offence (MMO) and Disrepute Complaints</w:t>
      </w:r>
      <w:r w:rsidRPr="00631B3D">
        <w:rPr>
          <w:rFonts w:ascii="Arial" w:hAnsi="Arial"/>
        </w:rPr>
        <w:t xml:space="preserve">.  These are serious charges and will be dealt with in accordance with the EH Code of Ethics and Behaviour.  The TBBHC Club Disciplinary Officer (CDO) will be the principal intermediary on such matters, as well as advising players on their responsibilities and rights and the details of the regulations.   </w:t>
      </w:r>
      <w:r w:rsidRPr="00631B3D">
        <w:rPr>
          <w:rFonts w:ascii="Arial" w:hAnsi="Arial"/>
        </w:rPr>
        <w:tab/>
      </w:r>
    </w:p>
    <w:p w14:paraId="42A55644" w14:textId="77777777" w:rsidR="004111AF" w:rsidRPr="00631B3D" w:rsidRDefault="004111AF" w:rsidP="00B20079">
      <w:pPr>
        <w:pStyle w:val="ListParagraph"/>
        <w:spacing w:after="0" w:line="240" w:lineRule="auto"/>
        <w:jc w:val="both"/>
        <w:rPr>
          <w:rFonts w:ascii="Arial" w:hAnsi="Arial"/>
        </w:rPr>
      </w:pPr>
    </w:p>
    <w:p w14:paraId="5BEB344F" w14:textId="77777777" w:rsidR="004111AF" w:rsidRPr="00631B3D" w:rsidRDefault="004111AF" w:rsidP="00057201">
      <w:pPr>
        <w:spacing w:after="0" w:line="240" w:lineRule="auto"/>
        <w:jc w:val="both"/>
        <w:rPr>
          <w:rFonts w:ascii="Arial" w:hAnsi="Arial"/>
        </w:rPr>
      </w:pPr>
      <w:r w:rsidRPr="00631B3D">
        <w:rPr>
          <w:rFonts w:ascii="Arial" w:hAnsi="Arial"/>
        </w:rPr>
        <w:t>6.</w:t>
      </w:r>
      <w:r w:rsidRPr="00631B3D">
        <w:rPr>
          <w:rFonts w:ascii="Arial" w:hAnsi="Arial"/>
        </w:rPr>
        <w:tab/>
      </w:r>
      <w:r w:rsidRPr="00631B3D">
        <w:rPr>
          <w:rFonts w:ascii="Arial" w:hAnsi="Arial"/>
          <w:b/>
        </w:rPr>
        <w:t>Club Considerations</w:t>
      </w:r>
      <w:r w:rsidRPr="00631B3D">
        <w:rPr>
          <w:rFonts w:ascii="Arial" w:hAnsi="Arial"/>
        </w:rPr>
        <w:t xml:space="preserve">.  TBBHC considers that incidents involving directed verbal or physical abuse at match officials or players, surrounding umpires while offering verbal abuse are unacceptable.  To that end, should they occur, players may be liable to additional sanctions from the Club.  The Club also considers that incidents involving unreasonable behaviour towards junior players are also unacceptable.  </w:t>
      </w:r>
    </w:p>
    <w:p w14:paraId="6942B115" w14:textId="77777777" w:rsidR="004111AF" w:rsidRPr="00631B3D" w:rsidRDefault="004111AF" w:rsidP="00B20079">
      <w:pPr>
        <w:pStyle w:val="ListParagraph"/>
        <w:spacing w:after="0" w:line="240" w:lineRule="auto"/>
        <w:jc w:val="both"/>
        <w:rPr>
          <w:rFonts w:ascii="Arial" w:hAnsi="Arial"/>
        </w:rPr>
      </w:pPr>
    </w:p>
    <w:p w14:paraId="3E907288" w14:textId="0CBB2BF3" w:rsidR="004111AF" w:rsidRPr="00631B3D" w:rsidRDefault="004111AF" w:rsidP="00057201">
      <w:pPr>
        <w:spacing w:after="0" w:line="240" w:lineRule="auto"/>
        <w:jc w:val="both"/>
        <w:rPr>
          <w:rFonts w:ascii="Arial" w:hAnsi="Arial"/>
        </w:rPr>
      </w:pPr>
      <w:r w:rsidRPr="00631B3D">
        <w:rPr>
          <w:rFonts w:ascii="Arial" w:hAnsi="Arial"/>
        </w:rPr>
        <w:t>7.</w:t>
      </w:r>
      <w:r w:rsidRPr="00631B3D">
        <w:rPr>
          <w:rFonts w:ascii="Arial" w:hAnsi="Arial"/>
        </w:rPr>
        <w:tab/>
      </w:r>
      <w:r w:rsidRPr="00631B3D">
        <w:rPr>
          <w:rFonts w:ascii="Arial" w:hAnsi="Arial"/>
          <w:b/>
        </w:rPr>
        <w:t>Club Sanctions</w:t>
      </w:r>
      <w:r w:rsidR="00EE0C95">
        <w:rPr>
          <w:rFonts w:ascii="Arial" w:hAnsi="Arial"/>
        </w:rPr>
        <w:t>.  S</w:t>
      </w:r>
      <w:r w:rsidRPr="00631B3D">
        <w:rPr>
          <w:rFonts w:ascii="Arial" w:hAnsi="Arial"/>
        </w:rPr>
        <w:t>anctions which the Disciplinary Committee may consider include by way of guidance:</w:t>
      </w:r>
    </w:p>
    <w:p w14:paraId="4686A791" w14:textId="77777777" w:rsidR="004111AF" w:rsidRPr="00631B3D" w:rsidRDefault="004111AF" w:rsidP="00057201">
      <w:pPr>
        <w:spacing w:after="0" w:line="240" w:lineRule="auto"/>
        <w:jc w:val="both"/>
        <w:rPr>
          <w:rFonts w:ascii="Arial" w:hAnsi="Arial"/>
        </w:rPr>
      </w:pPr>
    </w:p>
    <w:p w14:paraId="36D74F8D" w14:textId="77777777" w:rsidR="004111AF" w:rsidRPr="00631B3D" w:rsidRDefault="004111AF" w:rsidP="00057201">
      <w:pPr>
        <w:pStyle w:val="ListParagraph"/>
        <w:numPr>
          <w:ilvl w:val="0"/>
          <w:numId w:val="12"/>
        </w:numPr>
        <w:spacing w:after="0" w:line="240" w:lineRule="auto"/>
        <w:jc w:val="both"/>
        <w:rPr>
          <w:rFonts w:ascii="Arial" w:hAnsi="Arial"/>
        </w:rPr>
      </w:pPr>
      <w:r w:rsidRPr="00631B3D">
        <w:rPr>
          <w:rFonts w:ascii="Arial" w:hAnsi="Arial"/>
        </w:rPr>
        <w:t>Warnings to future conduct – informal and formal.</w:t>
      </w:r>
    </w:p>
    <w:p w14:paraId="7D13A0F2" w14:textId="77777777" w:rsidR="004111AF" w:rsidRPr="00631B3D" w:rsidRDefault="004111AF" w:rsidP="00057201">
      <w:pPr>
        <w:spacing w:after="0" w:line="240" w:lineRule="auto"/>
        <w:jc w:val="both"/>
        <w:rPr>
          <w:rFonts w:ascii="Arial" w:hAnsi="Arial"/>
        </w:rPr>
      </w:pPr>
    </w:p>
    <w:p w14:paraId="7512641D" w14:textId="77777777" w:rsidR="004111AF" w:rsidRPr="00631B3D" w:rsidRDefault="004111AF" w:rsidP="00057201">
      <w:pPr>
        <w:pStyle w:val="ListParagraph"/>
        <w:numPr>
          <w:ilvl w:val="0"/>
          <w:numId w:val="12"/>
        </w:numPr>
        <w:spacing w:after="0" w:line="240" w:lineRule="auto"/>
        <w:jc w:val="both"/>
        <w:rPr>
          <w:rFonts w:ascii="Arial" w:hAnsi="Arial"/>
        </w:rPr>
      </w:pPr>
      <w:r w:rsidRPr="00631B3D">
        <w:rPr>
          <w:rFonts w:ascii="Arial" w:hAnsi="Arial"/>
        </w:rPr>
        <w:t>Match suspensions of between 1 and 3 matches.</w:t>
      </w:r>
    </w:p>
    <w:p w14:paraId="5D97A4A5" w14:textId="77777777" w:rsidR="004111AF" w:rsidRPr="00631B3D" w:rsidRDefault="004111AF" w:rsidP="00057201">
      <w:pPr>
        <w:spacing w:after="0" w:line="240" w:lineRule="auto"/>
        <w:jc w:val="both"/>
        <w:rPr>
          <w:rFonts w:ascii="Arial" w:hAnsi="Arial"/>
        </w:rPr>
      </w:pPr>
    </w:p>
    <w:p w14:paraId="1D942E60" w14:textId="77777777" w:rsidR="004111AF" w:rsidRPr="00631B3D" w:rsidRDefault="004111AF" w:rsidP="00057201">
      <w:pPr>
        <w:pStyle w:val="ListParagraph"/>
        <w:numPr>
          <w:ilvl w:val="0"/>
          <w:numId w:val="12"/>
        </w:numPr>
        <w:spacing w:after="0" w:line="240" w:lineRule="auto"/>
        <w:jc w:val="both"/>
        <w:rPr>
          <w:rFonts w:ascii="Arial" w:hAnsi="Arial"/>
        </w:rPr>
      </w:pPr>
      <w:r w:rsidRPr="00631B3D">
        <w:rPr>
          <w:rFonts w:ascii="Arial" w:hAnsi="Arial"/>
        </w:rPr>
        <w:t>‘Suspended’ match suspensions ie. not awarded pending future good</w:t>
      </w:r>
    </w:p>
    <w:p w14:paraId="58C3E9F2" w14:textId="77777777" w:rsidR="004111AF" w:rsidRPr="00631B3D" w:rsidRDefault="004111AF" w:rsidP="00057201">
      <w:pPr>
        <w:spacing w:after="0" w:line="240" w:lineRule="auto"/>
        <w:ind w:firstLine="720"/>
        <w:jc w:val="both"/>
        <w:rPr>
          <w:rFonts w:ascii="Arial" w:hAnsi="Arial"/>
        </w:rPr>
      </w:pPr>
      <w:r w:rsidRPr="00631B3D">
        <w:rPr>
          <w:rFonts w:ascii="Arial" w:hAnsi="Arial"/>
        </w:rPr>
        <w:t>conduct for the remainder of the season.</w:t>
      </w:r>
    </w:p>
    <w:p w14:paraId="6EF2D748" w14:textId="77777777" w:rsidR="004111AF" w:rsidRPr="00631B3D" w:rsidRDefault="004111AF" w:rsidP="00057201">
      <w:pPr>
        <w:spacing w:after="0" w:line="240" w:lineRule="auto"/>
        <w:jc w:val="both"/>
        <w:rPr>
          <w:rFonts w:ascii="Arial" w:hAnsi="Arial"/>
        </w:rPr>
      </w:pPr>
    </w:p>
    <w:p w14:paraId="094AF237" w14:textId="77777777" w:rsidR="006914AD" w:rsidRDefault="004111AF" w:rsidP="007072B5">
      <w:pPr>
        <w:numPr>
          <w:ilvl w:val="0"/>
          <w:numId w:val="12"/>
        </w:numPr>
        <w:spacing w:after="0" w:line="240" w:lineRule="auto"/>
        <w:jc w:val="both"/>
        <w:rPr>
          <w:rFonts w:ascii="Arial" w:hAnsi="Arial"/>
        </w:rPr>
      </w:pPr>
      <w:r w:rsidRPr="00631B3D">
        <w:rPr>
          <w:rFonts w:ascii="Arial" w:hAnsi="Arial"/>
        </w:rPr>
        <w:t xml:space="preserve">Suspension or Termination of Membership – </w:t>
      </w:r>
      <w:r w:rsidR="006914AD">
        <w:rPr>
          <w:rFonts w:ascii="Arial" w:hAnsi="Arial"/>
        </w:rPr>
        <w:t>extremely serious cases which</w:t>
      </w:r>
    </w:p>
    <w:p w14:paraId="46944973" w14:textId="2AD94F58" w:rsidR="004111AF" w:rsidRDefault="006914AD" w:rsidP="006914AD">
      <w:pPr>
        <w:spacing w:after="0" w:line="240" w:lineRule="auto"/>
        <w:ind w:left="720"/>
        <w:jc w:val="both"/>
        <w:rPr>
          <w:rFonts w:ascii="Arial" w:hAnsi="Arial"/>
        </w:rPr>
      </w:pPr>
      <w:r>
        <w:rPr>
          <w:rFonts w:ascii="Arial" w:hAnsi="Arial"/>
        </w:rPr>
        <w:t xml:space="preserve">might have implications for membership can only be handled by </w:t>
      </w:r>
      <w:r w:rsidR="004111AF" w:rsidRPr="00631B3D">
        <w:rPr>
          <w:rFonts w:ascii="Arial" w:hAnsi="Arial"/>
        </w:rPr>
        <w:t>the Ex</w:t>
      </w:r>
      <w:r>
        <w:rPr>
          <w:rFonts w:ascii="Arial" w:hAnsi="Arial"/>
        </w:rPr>
        <w:t>ecutive Committee</w:t>
      </w:r>
      <w:r w:rsidR="004111AF" w:rsidRPr="00631B3D">
        <w:rPr>
          <w:rFonts w:ascii="Arial" w:hAnsi="Arial"/>
        </w:rPr>
        <w:t xml:space="preserve">. </w:t>
      </w:r>
    </w:p>
    <w:p w14:paraId="41D2A901" w14:textId="77777777" w:rsidR="004111AF" w:rsidRDefault="004111AF" w:rsidP="007072B5">
      <w:pPr>
        <w:spacing w:after="0" w:line="240" w:lineRule="auto"/>
        <w:ind w:left="720"/>
        <w:jc w:val="both"/>
        <w:rPr>
          <w:rFonts w:ascii="Arial" w:hAnsi="Arial"/>
        </w:rPr>
      </w:pPr>
    </w:p>
    <w:p w14:paraId="49AA583D" w14:textId="77777777" w:rsidR="004111AF" w:rsidRDefault="004111AF" w:rsidP="007072B5">
      <w:pPr>
        <w:spacing w:after="0" w:line="240" w:lineRule="auto"/>
        <w:ind w:left="720"/>
        <w:jc w:val="both"/>
        <w:rPr>
          <w:rFonts w:ascii="Arial" w:hAnsi="Arial"/>
        </w:rPr>
      </w:pPr>
    </w:p>
    <w:p w14:paraId="270803F0" w14:textId="77777777" w:rsidR="004111AF" w:rsidRDefault="004111AF" w:rsidP="007072B5">
      <w:pPr>
        <w:spacing w:after="0" w:line="240" w:lineRule="auto"/>
        <w:ind w:left="720"/>
        <w:jc w:val="both"/>
        <w:rPr>
          <w:rFonts w:ascii="Arial" w:hAnsi="Arial"/>
        </w:rPr>
      </w:pPr>
    </w:p>
    <w:p w14:paraId="798BD79D" w14:textId="77777777" w:rsidR="004111AF" w:rsidRDefault="004111AF" w:rsidP="007072B5">
      <w:pPr>
        <w:spacing w:after="0" w:line="240" w:lineRule="auto"/>
        <w:ind w:left="720"/>
        <w:jc w:val="both"/>
        <w:rPr>
          <w:rFonts w:ascii="Arial" w:hAnsi="Arial"/>
        </w:rPr>
      </w:pPr>
    </w:p>
    <w:p w14:paraId="04DBA28B" w14:textId="77777777" w:rsidR="004111AF" w:rsidRDefault="004111AF" w:rsidP="007072B5">
      <w:pPr>
        <w:spacing w:after="0" w:line="240" w:lineRule="auto"/>
        <w:ind w:left="720"/>
        <w:jc w:val="both"/>
        <w:rPr>
          <w:rFonts w:ascii="Arial" w:hAnsi="Arial"/>
        </w:rPr>
      </w:pPr>
    </w:p>
    <w:p w14:paraId="78F74F63" w14:textId="77777777" w:rsidR="004111AF" w:rsidRDefault="004111AF" w:rsidP="007072B5">
      <w:pPr>
        <w:spacing w:after="0" w:line="240" w:lineRule="auto"/>
        <w:ind w:left="720"/>
        <w:jc w:val="both"/>
        <w:rPr>
          <w:rFonts w:ascii="Arial" w:hAnsi="Arial"/>
        </w:rPr>
      </w:pPr>
    </w:p>
    <w:p w14:paraId="42AD7F34" w14:textId="77777777" w:rsidR="004111AF" w:rsidRDefault="004111AF" w:rsidP="007072B5">
      <w:pPr>
        <w:spacing w:after="0" w:line="240" w:lineRule="auto"/>
        <w:ind w:left="720"/>
        <w:jc w:val="both"/>
        <w:rPr>
          <w:rFonts w:ascii="Arial" w:hAnsi="Arial"/>
        </w:rPr>
      </w:pPr>
    </w:p>
    <w:p w14:paraId="14F5B9A5" w14:textId="77777777" w:rsidR="004111AF" w:rsidRDefault="004111AF" w:rsidP="007072B5">
      <w:pPr>
        <w:spacing w:after="0" w:line="240" w:lineRule="auto"/>
        <w:ind w:left="720"/>
        <w:jc w:val="both"/>
        <w:rPr>
          <w:rFonts w:ascii="Arial" w:hAnsi="Arial"/>
        </w:rPr>
      </w:pPr>
    </w:p>
    <w:p w14:paraId="31DFBAEB" w14:textId="77777777" w:rsidR="004111AF" w:rsidRDefault="004111AF" w:rsidP="007072B5">
      <w:pPr>
        <w:spacing w:after="0" w:line="240" w:lineRule="auto"/>
        <w:ind w:left="720"/>
        <w:jc w:val="both"/>
        <w:rPr>
          <w:rFonts w:ascii="Arial" w:hAnsi="Arial"/>
        </w:rPr>
      </w:pPr>
    </w:p>
    <w:p w14:paraId="6F12AA40" w14:textId="77777777" w:rsidR="004111AF" w:rsidRDefault="004111AF" w:rsidP="007072B5">
      <w:pPr>
        <w:spacing w:after="0" w:line="240" w:lineRule="auto"/>
        <w:ind w:left="720"/>
        <w:jc w:val="both"/>
        <w:rPr>
          <w:rFonts w:ascii="Arial" w:hAnsi="Arial"/>
        </w:rPr>
      </w:pPr>
    </w:p>
    <w:p w14:paraId="3A1A5422" w14:textId="77777777" w:rsidR="004111AF" w:rsidRDefault="004111AF" w:rsidP="007072B5">
      <w:pPr>
        <w:spacing w:after="0" w:line="240" w:lineRule="auto"/>
        <w:ind w:left="720"/>
        <w:jc w:val="both"/>
        <w:rPr>
          <w:rFonts w:ascii="Arial" w:hAnsi="Arial"/>
        </w:rPr>
      </w:pPr>
    </w:p>
    <w:p w14:paraId="1F1A71FF" w14:textId="77777777" w:rsidR="004111AF" w:rsidRDefault="004111AF" w:rsidP="007072B5">
      <w:pPr>
        <w:spacing w:after="0" w:line="240" w:lineRule="auto"/>
        <w:ind w:left="720"/>
        <w:jc w:val="both"/>
        <w:rPr>
          <w:rFonts w:ascii="Arial" w:hAnsi="Arial"/>
        </w:rPr>
      </w:pPr>
    </w:p>
    <w:p w14:paraId="54940EB7" w14:textId="77777777" w:rsidR="004111AF" w:rsidRDefault="004111AF" w:rsidP="007072B5">
      <w:pPr>
        <w:spacing w:after="0" w:line="240" w:lineRule="auto"/>
        <w:ind w:left="720"/>
        <w:jc w:val="both"/>
        <w:rPr>
          <w:rFonts w:ascii="Arial" w:hAnsi="Arial"/>
        </w:rPr>
      </w:pPr>
    </w:p>
    <w:p w14:paraId="4F055C78" w14:textId="77777777" w:rsidR="004111AF" w:rsidRDefault="004111AF" w:rsidP="007072B5">
      <w:pPr>
        <w:spacing w:after="0" w:line="240" w:lineRule="auto"/>
        <w:ind w:left="720"/>
        <w:jc w:val="both"/>
        <w:rPr>
          <w:rFonts w:ascii="Arial" w:hAnsi="Arial"/>
        </w:rPr>
      </w:pPr>
    </w:p>
    <w:p w14:paraId="1BB94734" w14:textId="77777777" w:rsidR="004111AF" w:rsidRPr="00631B3D" w:rsidRDefault="004111AF" w:rsidP="007072B5">
      <w:pPr>
        <w:spacing w:after="0" w:line="240" w:lineRule="auto"/>
        <w:ind w:left="720"/>
        <w:jc w:val="both"/>
        <w:rPr>
          <w:rFonts w:ascii="Arial" w:hAnsi="Arial"/>
        </w:rPr>
      </w:pPr>
    </w:p>
    <w:p w14:paraId="2DED670A" w14:textId="77777777" w:rsidR="004111AF" w:rsidRPr="00631B3D" w:rsidRDefault="004111AF" w:rsidP="007072B5">
      <w:pPr>
        <w:spacing w:after="0" w:line="240" w:lineRule="auto"/>
        <w:ind w:left="720"/>
        <w:jc w:val="both"/>
        <w:rPr>
          <w:rFonts w:ascii="Arial" w:hAnsi="Arial"/>
        </w:rPr>
      </w:pPr>
    </w:p>
    <w:tbl>
      <w:tblPr>
        <w:tblW w:w="9860" w:type="dxa"/>
        <w:tblInd w:w="-252" w:type="dxa"/>
        <w:tblLayout w:type="fixed"/>
        <w:tblLook w:val="0000" w:firstRow="0" w:lastRow="0" w:firstColumn="0" w:lastColumn="0" w:noHBand="0" w:noVBand="0"/>
      </w:tblPr>
      <w:tblGrid>
        <w:gridCol w:w="1069"/>
        <w:gridCol w:w="1418"/>
        <w:gridCol w:w="4971"/>
        <w:gridCol w:w="2402"/>
      </w:tblGrid>
      <w:tr w:rsidR="004111AF" w:rsidRPr="00631B3D" w14:paraId="5DFD67FA" w14:textId="77777777" w:rsidTr="007072B5">
        <w:trPr>
          <w:trHeight w:val="272"/>
        </w:trPr>
        <w:tc>
          <w:tcPr>
            <w:tcW w:w="1069"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0796B99C" w14:textId="77777777" w:rsidR="004111AF" w:rsidRPr="00631B3D" w:rsidRDefault="004111AF" w:rsidP="00884140">
            <w:pPr>
              <w:autoSpaceDE w:val="0"/>
              <w:autoSpaceDN w:val="0"/>
              <w:adjustRightInd w:val="0"/>
              <w:jc w:val="center"/>
              <w:rPr>
                <w:rFonts w:ascii="Arial" w:hAnsi="Arial" w:cs="Arial"/>
                <w:b/>
                <w:color w:val="FFFFFF"/>
              </w:rPr>
            </w:pPr>
            <w:r w:rsidRPr="00631B3D">
              <w:rPr>
                <w:rFonts w:ascii="Arial" w:hAnsi="Arial" w:cs="Arial"/>
                <w:b/>
                <w:color w:val="FFFFFF"/>
              </w:rPr>
              <w:t>Issue</w:t>
            </w:r>
          </w:p>
        </w:tc>
        <w:tc>
          <w:tcPr>
            <w:tcW w:w="1418"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3C5B5A62" w14:textId="77777777" w:rsidR="004111AF" w:rsidRPr="00631B3D" w:rsidRDefault="004111AF" w:rsidP="00884140">
            <w:pPr>
              <w:autoSpaceDE w:val="0"/>
              <w:autoSpaceDN w:val="0"/>
              <w:adjustRightInd w:val="0"/>
              <w:jc w:val="center"/>
              <w:rPr>
                <w:rFonts w:ascii="Arial" w:hAnsi="Arial" w:cs="Arial"/>
                <w:b/>
                <w:color w:val="FFFFFF"/>
              </w:rPr>
            </w:pPr>
            <w:r w:rsidRPr="00631B3D">
              <w:rPr>
                <w:rFonts w:ascii="Arial" w:hAnsi="Arial" w:cs="Arial"/>
                <w:b/>
                <w:color w:val="FFFFFF"/>
              </w:rPr>
              <w:t>Date</w:t>
            </w:r>
          </w:p>
        </w:tc>
        <w:tc>
          <w:tcPr>
            <w:tcW w:w="4971"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17A72ABC" w14:textId="77777777" w:rsidR="004111AF" w:rsidRPr="00631B3D" w:rsidRDefault="004111AF" w:rsidP="00884140">
            <w:pPr>
              <w:autoSpaceDE w:val="0"/>
              <w:autoSpaceDN w:val="0"/>
              <w:adjustRightInd w:val="0"/>
              <w:jc w:val="center"/>
              <w:rPr>
                <w:rFonts w:ascii="Arial" w:hAnsi="Arial" w:cs="Arial"/>
                <w:b/>
                <w:color w:val="FFFFFF"/>
              </w:rPr>
            </w:pPr>
            <w:r w:rsidRPr="00631B3D">
              <w:rPr>
                <w:rFonts w:ascii="Arial" w:hAnsi="Arial" w:cs="Arial"/>
                <w:b/>
                <w:color w:val="FFFFFF"/>
              </w:rPr>
              <w:t>Description</w:t>
            </w:r>
          </w:p>
        </w:tc>
        <w:tc>
          <w:tcPr>
            <w:tcW w:w="2402"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031F2C91" w14:textId="77777777" w:rsidR="004111AF" w:rsidRPr="00631B3D" w:rsidRDefault="004111AF" w:rsidP="00884140">
            <w:pPr>
              <w:autoSpaceDE w:val="0"/>
              <w:autoSpaceDN w:val="0"/>
              <w:adjustRightInd w:val="0"/>
              <w:jc w:val="center"/>
              <w:rPr>
                <w:rFonts w:ascii="Arial" w:hAnsi="Arial" w:cs="Arial"/>
                <w:b/>
                <w:color w:val="FFFFFF"/>
              </w:rPr>
            </w:pPr>
            <w:r w:rsidRPr="00631B3D">
              <w:rPr>
                <w:rFonts w:ascii="Arial" w:hAnsi="Arial" w:cs="Arial"/>
                <w:b/>
                <w:color w:val="FFFFFF"/>
              </w:rPr>
              <w:t>Changes made by</w:t>
            </w:r>
          </w:p>
        </w:tc>
      </w:tr>
      <w:tr w:rsidR="004111AF" w:rsidRPr="00631B3D" w14:paraId="495C7913" w14:textId="77777777" w:rsidTr="007072B5">
        <w:trPr>
          <w:trHeight w:val="146"/>
        </w:trPr>
        <w:tc>
          <w:tcPr>
            <w:tcW w:w="1069" w:type="dxa"/>
            <w:tcBorders>
              <w:top w:val="single" w:sz="4" w:space="0" w:color="000000"/>
              <w:left w:val="single" w:sz="4" w:space="0" w:color="000000"/>
              <w:bottom w:val="single" w:sz="4" w:space="0" w:color="000000"/>
              <w:right w:val="single" w:sz="4" w:space="0" w:color="000000"/>
            </w:tcBorders>
            <w:vAlign w:val="center"/>
          </w:tcPr>
          <w:p w14:paraId="5D8ACF97"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 xml:space="preserve">V1.0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14AC8AB"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July 2012</w:t>
            </w:r>
          </w:p>
        </w:tc>
        <w:tc>
          <w:tcPr>
            <w:tcW w:w="4971" w:type="dxa"/>
            <w:tcBorders>
              <w:top w:val="single" w:sz="4" w:space="0" w:color="000000"/>
              <w:left w:val="single" w:sz="4" w:space="0" w:color="000000"/>
              <w:bottom w:val="single" w:sz="4" w:space="0" w:color="000000"/>
              <w:right w:val="single" w:sz="4" w:space="0" w:color="000000"/>
            </w:tcBorders>
            <w:vAlign w:val="center"/>
          </w:tcPr>
          <w:p w14:paraId="1D0128C8"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 xml:space="preserve">First issue </w:t>
            </w:r>
          </w:p>
        </w:tc>
        <w:tc>
          <w:tcPr>
            <w:tcW w:w="2402" w:type="dxa"/>
            <w:tcBorders>
              <w:top w:val="single" w:sz="4" w:space="0" w:color="000000"/>
              <w:left w:val="single" w:sz="4" w:space="0" w:color="000000"/>
              <w:bottom w:val="single" w:sz="4" w:space="0" w:color="000000"/>
              <w:right w:val="single" w:sz="4" w:space="0" w:color="000000"/>
            </w:tcBorders>
            <w:vAlign w:val="center"/>
          </w:tcPr>
          <w:p w14:paraId="50864045"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Mark Blackham</w:t>
            </w:r>
          </w:p>
        </w:tc>
      </w:tr>
      <w:tr w:rsidR="004111AF" w:rsidRPr="00631B3D" w14:paraId="00A22C60" w14:textId="77777777" w:rsidTr="007072B5">
        <w:trPr>
          <w:trHeight w:val="146"/>
        </w:trPr>
        <w:tc>
          <w:tcPr>
            <w:tcW w:w="1069" w:type="dxa"/>
            <w:tcBorders>
              <w:top w:val="single" w:sz="4" w:space="0" w:color="000000"/>
              <w:left w:val="single" w:sz="4" w:space="0" w:color="000000"/>
              <w:bottom w:val="single" w:sz="4" w:space="0" w:color="000000"/>
              <w:right w:val="single" w:sz="4" w:space="0" w:color="000000"/>
            </w:tcBorders>
            <w:vAlign w:val="center"/>
          </w:tcPr>
          <w:p w14:paraId="7B9D97DA"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V2.1</w:t>
            </w:r>
          </w:p>
        </w:tc>
        <w:tc>
          <w:tcPr>
            <w:tcW w:w="1418" w:type="dxa"/>
            <w:tcBorders>
              <w:top w:val="single" w:sz="4" w:space="0" w:color="000000"/>
              <w:left w:val="single" w:sz="4" w:space="0" w:color="000000"/>
              <w:bottom w:val="single" w:sz="4" w:space="0" w:color="000000"/>
              <w:right w:val="single" w:sz="4" w:space="0" w:color="000000"/>
            </w:tcBorders>
            <w:vAlign w:val="center"/>
          </w:tcPr>
          <w:p w14:paraId="67D7911C"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August 2014</w:t>
            </w:r>
          </w:p>
        </w:tc>
        <w:tc>
          <w:tcPr>
            <w:tcW w:w="4971" w:type="dxa"/>
            <w:tcBorders>
              <w:top w:val="single" w:sz="4" w:space="0" w:color="000000"/>
              <w:left w:val="single" w:sz="4" w:space="0" w:color="000000"/>
              <w:bottom w:val="single" w:sz="4" w:space="0" w:color="000000"/>
              <w:right w:val="single" w:sz="4" w:space="0" w:color="000000"/>
            </w:tcBorders>
            <w:vAlign w:val="center"/>
          </w:tcPr>
          <w:p w14:paraId="53E6D662" w14:textId="77777777" w:rsidR="004111AF" w:rsidRPr="00631B3D" w:rsidRDefault="004111AF" w:rsidP="00672DCC">
            <w:pPr>
              <w:autoSpaceDE w:val="0"/>
              <w:autoSpaceDN w:val="0"/>
              <w:adjustRightInd w:val="0"/>
              <w:rPr>
                <w:rFonts w:ascii="Arial" w:hAnsi="Arial" w:cs="Arial"/>
                <w:color w:val="000000"/>
              </w:rPr>
            </w:pPr>
            <w:r w:rsidRPr="00631B3D">
              <w:rPr>
                <w:rFonts w:ascii="Arial" w:hAnsi="Arial" w:cs="Arial"/>
                <w:color w:val="000000"/>
              </w:rPr>
              <w:t>Updated for upload on new website.</w:t>
            </w:r>
          </w:p>
        </w:tc>
        <w:tc>
          <w:tcPr>
            <w:tcW w:w="2402" w:type="dxa"/>
            <w:tcBorders>
              <w:top w:val="single" w:sz="4" w:space="0" w:color="000000"/>
              <w:left w:val="single" w:sz="4" w:space="0" w:color="000000"/>
              <w:bottom w:val="single" w:sz="4" w:space="0" w:color="000000"/>
              <w:right w:val="single" w:sz="4" w:space="0" w:color="000000"/>
            </w:tcBorders>
            <w:vAlign w:val="center"/>
          </w:tcPr>
          <w:p w14:paraId="59BB4711"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Nik Richardson</w:t>
            </w:r>
          </w:p>
        </w:tc>
      </w:tr>
      <w:tr w:rsidR="004111AF" w:rsidRPr="00631B3D" w14:paraId="438B5AC8" w14:textId="77777777" w:rsidTr="007072B5">
        <w:trPr>
          <w:trHeight w:val="146"/>
        </w:trPr>
        <w:tc>
          <w:tcPr>
            <w:tcW w:w="1069" w:type="dxa"/>
            <w:tcBorders>
              <w:top w:val="single" w:sz="4" w:space="0" w:color="000000"/>
              <w:left w:val="single" w:sz="4" w:space="0" w:color="000000"/>
              <w:bottom w:val="single" w:sz="4" w:space="0" w:color="000000"/>
              <w:right w:val="single" w:sz="4" w:space="0" w:color="000000"/>
            </w:tcBorders>
            <w:vAlign w:val="center"/>
          </w:tcPr>
          <w:p w14:paraId="688D0024"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V3.0</w:t>
            </w:r>
          </w:p>
        </w:tc>
        <w:tc>
          <w:tcPr>
            <w:tcW w:w="1418" w:type="dxa"/>
            <w:tcBorders>
              <w:top w:val="single" w:sz="4" w:space="0" w:color="000000"/>
              <w:left w:val="single" w:sz="4" w:space="0" w:color="000000"/>
              <w:bottom w:val="single" w:sz="4" w:space="0" w:color="000000"/>
              <w:right w:val="single" w:sz="4" w:space="0" w:color="000000"/>
            </w:tcBorders>
            <w:vAlign w:val="center"/>
          </w:tcPr>
          <w:p w14:paraId="044B57CC"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Jan 15</w:t>
            </w:r>
          </w:p>
        </w:tc>
        <w:tc>
          <w:tcPr>
            <w:tcW w:w="4971" w:type="dxa"/>
            <w:tcBorders>
              <w:top w:val="single" w:sz="4" w:space="0" w:color="000000"/>
              <w:left w:val="single" w:sz="4" w:space="0" w:color="000000"/>
              <w:bottom w:val="single" w:sz="4" w:space="0" w:color="000000"/>
              <w:right w:val="single" w:sz="4" w:space="0" w:color="000000"/>
            </w:tcBorders>
            <w:vAlign w:val="center"/>
          </w:tcPr>
          <w:p w14:paraId="5973EF92" w14:textId="77777777" w:rsidR="004111AF" w:rsidRPr="00631B3D" w:rsidRDefault="004111AF" w:rsidP="00672DCC">
            <w:pPr>
              <w:autoSpaceDE w:val="0"/>
              <w:autoSpaceDN w:val="0"/>
              <w:adjustRightInd w:val="0"/>
              <w:rPr>
                <w:rFonts w:ascii="Arial" w:hAnsi="Arial" w:cs="Arial"/>
                <w:color w:val="000000"/>
              </w:rPr>
            </w:pPr>
            <w:r w:rsidRPr="00631B3D">
              <w:rPr>
                <w:rFonts w:ascii="Arial" w:hAnsi="Arial" w:cs="Arial"/>
                <w:color w:val="000000"/>
              </w:rPr>
              <w:t>Revised version</w:t>
            </w:r>
          </w:p>
        </w:tc>
        <w:tc>
          <w:tcPr>
            <w:tcW w:w="2402" w:type="dxa"/>
            <w:tcBorders>
              <w:top w:val="single" w:sz="4" w:space="0" w:color="000000"/>
              <w:left w:val="single" w:sz="4" w:space="0" w:color="000000"/>
              <w:bottom w:val="single" w:sz="4" w:space="0" w:color="000000"/>
              <w:right w:val="single" w:sz="4" w:space="0" w:color="000000"/>
            </w:tcBorders>
            <w:vAlign w:val="center"/>
          </w:tcPr>
          <w:p w14:paraId="4FBA924C" w14:textId="77777777" w:rsidR="004111AF" w:rsidRPr="00631B3D" w:rsidRDefault="004111AF" w:rsidP="00884140">
            <w:pPr>
              <w:autoSpaceDE w:val="0"/>
              <w:autoSpaceDN w:val="0"/>
              <w:adjustRightInd w:val="0"/>
              <w:rPr>
                <w:rFonts w:ascii="Arial" w:hAnsi="Arial" w:cs="Arial"/>
                <w:color w:val="000000"/>
              </w:rPr>
            </w:pPr>
            <w:r w:rsidRPr="00631B3D">
              <w:rPr>
                <w:rFonts w:ascii="Arial" w:hAnsi="Arial" w:cs="Arial"/>
                <w:color w:val="000000"/>
              </w:rPr>
              <w:t>Heber Ackland</w:t>
            </w:r>
          </w:p>
        </w:tc>
      </w:tr>
    </w:tbl>
    <w:p w14:paraId="54267715" w14:textId="77777777" w:rsidR="004111AF" w:rsidRPr="00631B3D" w:rsidRDefault="004111AF" w:rsidP="00672DCC">
      <w:pPr>
        <w:spacing w:after="0" w:line="240" w:lineRule="auto"/>
        <w:jc w:val="both"/>
        <w:rPr>
          <w:rFonts w:ascii="Arial" w:hAnsi="Arial"/>
        </w:rPr>
      </w:pPr>
    </w:p>
    <w:sectPr w:rsidR="004111AF" w:rsidRPr="00631B3D" w:rsidSect="00672DCC">
      <w:headerReference w:type="default" r:id="rId8"/>
      <w:footerReference w:type="default" r:id="rId9"/>
      <w:pgSz w:w="11906" w:h="16838"/>
      <w:pgMar w:top="1812"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65397" w14:textId="77777777" w:rsidR="004111AF" w:rsidRDefault="004111AF" w:rsidP="00672DCC">
      <w:pPr>
        <w:spacing w:after="0" w:line="240" w:lineRule="auto"/>
      </w:pPr>
      <w:r>
        <w:separator/>
      </w:r>
    </w:p>
  </w:endnote>
  <w:endnote w:type="continuationSeparator" w:id="0">
    <w:p w14:paraId="689D7596" w14:textId="77777777" w:rsidR="004111AF" w:rsidRDefault="004111AF" w:rsidP="0067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843C7" w14:textId="77777777" w:rsidR="004111AF" w:rsidRDefault="00F6667B">
    <w:pPr>
      <w:pStyle w:val="Footer"/>
    </w:pPr>
    <w:r>
      <w:rPr>
        <w:noProof/>
        <w:lang w:val="en-US" w:eastAsia="en-US"/>
      </w:rPr>
      <w:drawing>
        <wp:anchor distT="0" distB="0" distL="114300" distR="114300" simplePos="0" relativeHeight="251659264" behindDoc="0" locked="0" layoutInCell="1" allowOverlap="1" wp14:anchorId="2C4D3CF0" wp14:editId="2A2786D9">
          <wp:simplePos x="0" y="0"/>
          <wp:positionH relativeFrom="column">
            <wp:posOffset>22860</wp:posOffset>
          </wp:positionH>
          <wp:positionV relativeFrom="paragraph">
            <wp:posOffset>-287655</wp:posOffset>
          </wp:positionV>
          <wp:extent cx="2724150" cy="714375"/>
          <wp:effectExtent l="0" t="0" r="0" b="0"/>
          <wp:wrapNone/>
          <wp:docPr id="4" name="Picture 3" descr="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1F5C8" w14:textId="77777777" w:rsidR="004111AF" w:rsidRDefault="004111AF" w:rsidP="00672DCC">
      <w:pPr>
        <w:spacing w:after="0" w:line="240" w:lineRule="auto"/>
      </w:pPr>
      <w:r>
        <w:separator/>
      </w:r>
    </w:p>
  </w:footnote>
  <w:footnote w:type="continuationSeparator" w:id="0">
    <w:p w14:paraId="3C231A54" w14:textId="77777777" w:rsidR="004111AF" w:rsidRDefault="004111AF" w:rsidP="00672D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DAEA" w14:textId="77777777" w:rsidR="004111AF" w:rsidRDefault="00F6667B">
    <w:pPr>
      <w:pStyle w:val="Header"/>
    </w:pPr>
    <w:r>
      <w:rPr>
        <w:noProof/>
        <w:lang w:val="en-US" w:eastAsia="en-US"/>
      </w:rPr>
      <w:drawing>
        <wp:anchor distT="0" distB="0" distL="114300" distR="114300" simplePos="0" relativeHeight="251657216" behindDoc="0" locked="0" layoutInCell="1" allowOverlap="1" wp14:anchorId="58FDB998" wp14:editId="18C5E126">
          <wp:simplePos x="0" y="0"/>
          <wp:positionH relativeFrom="column">
            <wp:posOffset>4725670</wp:posOffset>
          </wp:positionH>
          <wp:positionV relativeFrom="paragraph">
            <wp:posOffset>20955</wp:posOffset>
          </wp:positionV>
          <wp:extent cx="923925" cy="447675"/>
          <wp:effectExtent l="0" t="0" r="0" b="9525"/>
          <wp:wrapNone/>
          <wp:docPr id="1" name="Picture 4" descr="Sitec CMYK-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c CMYK-co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7A5B3BFA" wp14:editId="1918E979">
          <wp:simplePos x="0" y="0"/>
          <wp:positionH relativeFrom="column">
            <wp:posOffset>4381500</wp:posOffset>
          </wp:positionH>
          <wp:positionV relativeFrom="paragraph">
            <wp:posOffset>-337185</wp:posOffset>
          </wp:positionV>
          <wp:extent cx="1356360" cy="396240"/>
          <wp:effectExtent l="0" t="0" r="0" b="10160"/>
          <wp:wrapNone/>
          <wp:docPr id="2" name="Picture 10" descr="Description: http://www.teambathbuccaneers.co.uk/Logos/TB_Logo_New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teambathbuccaneers.co.uk/Logos/TB_Logo_New_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396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6BC17FFA" wp14:editId="79577C6C">
          <wp:simplePos x="0" y="0"/>
          <wp:positionH relativeFrom="column">
            <wp:posOffset>-7620</wp:posOffset>
          </wp:positionH>
          <wp:positionV relativeFrom="paragraph">
            <wp:posOffset>-344805</wp:posOffset>
          </wp:positionV>
          <wp:extent cx="1851660" cy="527685"/>
          <wp:effectExtent l="0" t="0" r="2540" b="5715"/>
          <wp:wrapNone/>
          <wp:docPr id="3" name="Picture 6" descr="TBB Logo  yellow &amp;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BB Logo  yellow &amp; nav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1660" cy="527685"/>
                  </a:xfrm>
                  <a:prstGeom prst="rect">
                    <a:avLst/>
                  </a:prstGeom>
                  <a:noFill/>
                </pic:spPr>
              </pic:pic>
            </a:graphicData>
          </a:graphic>
          <wp14:sizeRelH relativeFrom="page">
            <wp14:pctWidth>0</wp14:pctWidth>
          </wp14:sizeRelH>
          <wp14:sizeRelV relativeFrom="page">
            <wp14:pctHeight>0</wp14:pctHeight>
          </wp14:sizeRelV>
        </wp:anchor>
      </w:drawing>
    </w:r>
  </w:p>
  <w:p w14:paraId="1DAD2730" w14:textId="77777777" w:rsidR="004111AF" w:rsidRDefault="004111AF">
    <w:pPr>
      <w:pStyle w:val="Header"/>
    </w:pPr>
  </w:p>
  <w:p w14:paraId="16C530A9" w14:textId="77777777" w:rsidR="004111AF" w:rsidRPr="00672DCC" w:rsidRDefault="004111AF" w:rsidP="00672DCC">
    <w:pPr>
      <w:jc w:val="right"/>
      <w:rPr>
        <w:rFonts w:ascii="Arial" w:hAnsi="Arial" w:cs="Arial"/>
        <w:b/>
        <w:color w:val="333399"/>
        <w:sz w:val="4"/>
        <w:szCs w:val="16"/>
      </w:rPr>
    </w:pPr>
  </w:p>
  <w:p w14:paraId="25E87D2B" w14:textId="77777777" w:rsidR="004111AF" w:rsidRDefault="004111AF" w:rsidP="00672DCC">
    <w:pPr>
      <w:jc w:val="right"/>
    </w:pPr>
    <w:r w:rsidRPr="00901151">
      <w:rPr>
        <w:rFonts w:ascii="Arial" w:hAnsi="Arial" w:cs="Arial"/>
        <w:b/>
        <w:color w:val="333399"/>
        <w:sz w:val="16"/>
        <w:szCs w:val="16"/>
      </w:rPr>
      <w:t>Club Primary Sponsor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264"/>
    <w:multiLevelType w:val="hybridMultilevel"/>
    <w:tmpl w:val="238E665E"/>
    <w:lvl w:ilvl="0" w:tplc="C0B8D73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B2A7D64"/>
    <w:multiLevelType w:val="hybridMultilevel"/>
    <w:tmpl w:val="8E2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7492C"/>
    <w:multiLevelType w:val="hybridMultilevel"/>
    <w:tmpl w:val="301E54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91445D8"/>
    <w:multiLevelType w:val="hybridMultilevel"/>
    <w:tmpl w:val="5D0C2326"/>
    <w:lvl w:ilvl="0" w:tplc="DA5A690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34009D2"/>
    <w:multiLevelType w:val="hybridMultilevel"/>
    <w:tmpl w:val="F04655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0957D78"/>
    <w:multiLevelType w:val="hybridMultilevel"/>
    <w:tmpl w:val="7082A230"/>
    <w:lvl w:ilvl="0" w:tplc="1E66A16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DA17FFA"/>
    <w:multiLevelType w:val="hybridMultilevel"/>
    <w:tmpl w:val="037E4E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F002D92"/>
    <w:multiLevelType w:val="hybridMultilevel"/>
    <w:tmpl w:val="8224208E"/>
    <w:lvl w:ilvl="0" w:tplc="C1324A4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E4627D"/>
    <w:multiLevelType w:val="hybridMultilevel"/>
    <w:tmpl w:val="65E458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97F526F"/>
    <w:multiLevelType w:val="hybridMultilevel"/>
    <w:tmpl w:val="E794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A5F37"/>
    <w:multiLevelType w:val="hybridMultilevel"/>
    <w:tmpl w:val="872AC57E"/>
    <w:lvl w:ilvl="0" w:tplc="E43A49EE">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C5B7A0B"/>
    <w:multiLevelType w:val="hybridMultilevel"/>
    <w:tmpl w:val="7CB0021A"/>
    <w:lvl w:ilvl="0" w:tplc="70027AE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11"/>
  </w:num>
  <w:num w:numId="3">
    <w:abstractNumId w:val="0"/>
  </w:num>
  <w:num w:numId="4">
    <w:abstractNumId w:val="6"/>
  </w:num>
  <w:num w:numId="5">
    <w:abstractNumId w:val="2"/>
  </w:num>
  <w:num w:numId="6">
    <w:abstractNumId w:val="8"/>
  </w:num>
  <w:num w:numId="7">
    <w:abstractNumId w:val="9"/>
  </w:num>
  <w:num w:numId="8">
    <w:abstractNumId w:val="1"/>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F0"/>
    <w:rsid w:val="00057201"/>
    <w:rsid w:val="00083ED7"/>
    <w:rsid w:val="0009404C"/>
    <w:rsid w:val="000A23B6"/>
    <w:rsid w:val="001217AC"/>
    <w:rsid w:val="001E7BB0"/>
    <w:rsid w:val="00231054"/>
    <w:rsid w:val="00254369"/>
    <w:rsid w:val="002864F0"/>
    <w:rsid w:val="00295C58"/>
    <w:rsid w:val="002F521F"/>
    <w:rsid w:val="0030069A"/>
    <w:rsid w:val="00316601"/>
    <w:rsid w:val="00374ACA"/>
    <w:rsid w:val="00394E9E"/>
    <w:rsid w:val="004111AF"/>
    <w:rsid w:val="00473BC0"/>
    <w:rsid w:val="00514F90"/>
    <w:rsid w:val="005B5FCE"/>
    <w:rsid w:val="006045ED"/>
    <w:rsid w:val="0060537E"/>
    <w:rsid w:val="00631B3D"/>
    <w:rsid w:val="00646172"/>
    <w:rsid w:val="006562F1"/>
    <w:rsid w:val="00672DCC"/>
    <w:rsid w:val="006868A2"/>
    <w:rsid w:val="006914AD"/>
    <w:rsid w:val="00692936"/>
    <w:rsid w:val="007072B5"/>
    <w:rsid w:val="00717F77"/>
    <w:rsid w:val="0077791E"/>
    <w:rsid w:val="00791236"/>
    <w:rsid w:val="008664A4"/>
    <w:rsid w:val="00884140"/>
    <w:rsid w:val="008972DF"/>
    <w:rsid w:val="008C3DAF"/>
    <w:rsid w:val="00901151"/>
    <w:rsid w:val="009054A2"/>
    <w:rsid w:val="00931E57"/>
    <w:rsid w:val="00972D0F"/>
    <w:rsid w:val="009E1A1E"/>
    <w:rsid w:val="009F5FFE"/>
    <w:rsid w:val="00A2360B"/>
    <w:rsid w:val="00A26871"/>
    <w:rsid w:val="00B036C5"/>
    <w:rsid w:val="00B073CA"/>
    <w:rsid w:val="00B20079"/>
    <w:rsid w:val="00B81757"/>
    <w:rsid w:val="00BE18F0"/>
    <w:rsid w:val="00CA6EF7"/>
    <w:rsid w:val="00CE67CE"/>
    <w:rsid w:val="00D1157F"/>
    <w:rsid w:val="00D1557A"/>
    <w:rsid w:val="00D21A0E"/>
    <w:rsid w:val="00D97616"/>
    <w:rsid w:val="00E253A8"/>
    <w:rsid w:val="00E9136E"/>
    <w:rsid w:val="00E938AF"/>
    <w:rsid w:val="00EA09BE"/>
    <w:rsid w:val="00EE0C95"/>
    <w:rsid w:val="00F53E13"/>
    <w:rsid w:val="00F666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B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8F0"/>
    <w:pPr>
      <w:ind w:left="720"/>
      <w:contextualSpacing/>
    </w:pPr>
  </w:style>
  <w:style w:type="paragraph" w:styleId="Header">
    <w:name w:val="header"/>
    <w:basedOn w:val="Normal"/>
    <w:link w:val="HeaderChar"/>
    <w:uiPriority w:val="99"/>
    <w:rsid w:val="00672D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72DCC"/>
    <w:rPr>
      <w:rFonts w:cs="Times New Roman"/>
    </w:rPr>
  </w:style>
  <w:style w:type="paragraph" w:styleId="Footer">
    <w:name w:val="footer"/>
    <w:basedOn w:val="Normal"/>
    <w:link w:val="FooterChar"/>
    <w:uiPriority w:val="99"/>
    <w:rsid w:val="00672D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72DCC"/>
    <w:rPr>
      <w:rFonts w:cs="Times New Roman"/>
    </w:rPr>
  </w:style>
  <w:style w:type="paragraph" w:styleId="BalloonText">
    <w:name w:val="Balloon Text"/>
    <w:basedOn w:val="Normal"/>
    <w:link w:val="BalloonTextChar"/>
    <w:uiPriority w:val="99"/>
    <w:semiHidden/>
    <w:rsid w:val="0067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D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8F0"/>
    <w:pPr>
      <w:ind w:left="720"/>
      <w:contextualSpacing/>
    </w:pPr>
  </w:style>
  <w:style w:type="paragraph" w:styleId="Header">
    <w:name w:val="header"/>
    <w:basedOn w:val="Normal"/>
    <w:link w:val="HeaderChar"/>
    <w:uiPriority w:val="99"/>
    <w:rsid w:val="00672D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72DCC"/>
    <w:rPr>
      <w:rFonts w:cs="Times New Roman"/>
    </w:rPr>
  </w:style>
  <w:style w:type="paragraph" w:styleId="Footer">
    <w:name w:val="footer"/>
    <w:basedOn w:val="Normal"/>
    <w:link w:val="FooterChar"/>
    <w:uiPriority w:val="99"/>
    <w:rsid w:val="00672D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72DCC"/>
    <w:rPr>
      <w:rFonts w:cs="Times New Roman"/>
    </w:rPr>
  </w:style>
  <w:style w:type="paragraph" w:styleId="BalloonText">
    <w:name w:val="Balloon Text"/>
    <w:basedOn w:val="Normal"/>
    <w:link w:val="BalloonTextChar"/>
    <w:uiPriority w:val="99"/>
    <w:semiHidden/>
    <w:rsid w:val="00672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722</Words>
  <Characters>4122</Characters>
  <Application>Microsoft Macintosh Word</Application>
  <DocSecurity>0</DocSecurity>
  <Lines>34</Lines>
  <Paragraphs>9</Paragraphs>
  <ScaleCrop>false</ScaleCrop>
  <Company>Wessex Water</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Heber Ackland</cp:lastModifiedBy>
  <cp:revision>6</cp:revision>
  <dcterms:created xsi:type="dcterms:W3CDTF">2015-01-06T22:21:00Z</dcterms:created>
  <dcterms:modified xsi:type="dcterms:W3CDTF">2015-01-26T20:02:00Z</dcterms:modified>
</cp:coreProperties>
</file>